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71EA137C" w14:textId="73E53DB3" w:rsidR="00B5321A" w:rsidRDefault="007C303F" w:rsidP="00990312">
      <w:pPr>
        <w:spacing w:before="240"/>
        <w:jc w:val="center"/>
        <w:rPr>
          <w:rFonts w:ascii="Cambria" w:eastAsia="Cambria" w:hAnsi="Cambria" w:cs="Cambria"/>
          <w:b/>
          <w:smallCaps/>
          <w:color w:val="403152"/>
          <w:sz w:val="40"/>
          <w:szCs w:val="40"/>
        </w:rPr>
      </w:pPr>
      <w:sdt>
        <w:sdtPr>
          <w:tag w:val="goog_rdk_0"/>
          <w:id w:val="-826363511"/>
        </w:sdtPr>
        <w:sdtEndPr/>
        <w:sdtContent/>
      </w:sdt>
      <w:r w:rsidR="00B5321A" w:rsidRPr="00B5321A">
        <w:rPr>
          <w:rFonts w:ascii="Cambria" w:eastAsia="Cambria" w:hAnsi="Cambria" w:cs="Cambria"/>
          <w:b/>
          <w:smallCaps/>
          <w:color w:val="403152"/>
          <w:sz w:val="40"/>
          <w:szCs w:val="40"/>
        </w:rPr>
        <w:t xml:space="preserve"> </w:t>
      </w:r>
      <w:r w:rsidR="00B5321A">
        <w:rPr>
          <w:rFonts w:ascii="Cambria" w:eastAsia="Cambria" w:hAnsi="Cambria" w:cs="Cambria"/>
          <w:b/>
          <w:smallCaps/>
          <w:color w:val="403152"/>
          <w:sz w:val="40"/>
          <w:szCs w:val="40"/>
        </w:rPr>
        <w:t xml:space="preserve">Horizon Europe – Cluster </w:t>
      </w:r>
      <w:r w:rsidR="00FA5F92">
        <w:rPr>
          <w:rFonts w:ascii="Cambria" w:eastAsia="Cambria" w:hAnsi="Cambria" w:cs="Cambria"/>
          <w:b/>
          <w:smallCaps/>
          <w:color w:val="403152"/>
          <w:sz w:val="40"/>
          <w:szCs w:val="40"/>
        </w:rPr>
        <w:t>6</w:t>
      </w:r>
      <w:r w:rsidR="00B5321A">
        <w:rPr>
          <w:rFonts w:ascii="Cambria" w:eastAsia="Cambria" w:hAnsi="Cambria" w:cs="Cambria"/>
          <w:b/>
          <w:smallCaps/>
          <w:color w:val="403152"/>
          <w:sz w:val="40"/>
          <w:szCs w:val="40"/>
        </w:rPr>
        <w:t>  « </w:t>
      </w:r>
      <w:r w:rsidR="00FA5F92" w:rsidRPr="00FA5F92">
        <w:rPr>
          <w:rFonts w:ascii="Cambria" w:eastAsia="Cambria" w:hAnsi="Cambria" w:cs="Cambria"/>
          <w:b/>
          <w:smallCaps/>
          <w:color w:val="403152"/>
          <w:sz w:val="40"/>
          <w:szCs w:val="40"/>
        </w:rPr>
        <w:t>Alimentation, bioéconomie, ressources naturelles, agriculture et environnement</w:t>
      </w:r>
      <w:r w:rsidR="00B5321A">
        <w:rPr>
          <w:rFonts w:ascii="Cambria" w:eastAsia="Cambria" w:hAnsi="Cambria" w:cs="Cambria"/>
          <w:b/>
          <w:smallCaps/>
          <w:color w:val="403152"/>
          <w:sz w:val="40"/>
          <w:szCs w:val="40"/>
        </w:rPr>
        <w:t>»</w:t>
      </w:r>
    </w:p>
    <w:p w14:paraId="3BFA779B" w14:textId="77777777" w:rsidR="00B5321A" w:rsidRDefault="00B5321A" w:rsidP="00990312">
      <w:pPr>
        <w:spacing w:before="24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3DAEA62B" wp14:editId="7029A645">
            <wp:extent cx="1485900" cy="2072439"/>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1487691" cy="2074937"/>
                    </a:xfrm>
                    <a:prstGeom prst="rect">
                      <a:avLst/>
                    </a:prstGeom>
                  </pic:spPr>
                </pic:pic>
              </a:graphicData>
            </a:graphic>
          </wp:inline>
        </w:drawing>
      </w:r>
    </w:p>
    <w:p w14:paraId="12CB3D05" w14:textId="77777777" w:rsidR="00B5321A" w:rsidRDefault="00B5321A" w:rsidP="00B5321A">
      <w:pPr>
        <w:pBdr>
          <w:top w:val="nil"/>
          <w:left w:val="nil"/>
          <w:bottom w:val="nil"/>
          <w:right w:val="nil"/>
          <w:between w:val="nil"/>
        </w:pBd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694"/>
        <w:gridCol w:w="141"/>
        <w:gridCol w:w="2552"/>
        <w:gridCol w:w="283"/>
        <w:gridCol w:w="2268"/>
        <w:gridCol w:w="1814"/>
      </w:tblGrid>
      <w:tr w:rsidR="000F49AD" w:rsidRPr="002F3CAA" w14:paraId="30BFE80A" w14:textId="77777777" w:rsidTr="00E063E0">
        <w:trPr>
          <w:trHeight w:val="787"/>
        </w:trPr>
        <w:tc>
          <w:tcPr>
            <w:tcW w:w="2694" w:type="dxa"/>
            <w:shd w:val="clear" w:color="auto" w:fill="CCC0D9" w:themeFill="accent4" w:themeFillTint="66"/>
            <w:vAlign w:val="center"/>
          </w:tcPr>
          <w:p w14:paraId="4680F4D8" w14:textId="77777777" w:rsidR="000F49AD" w:rsidRPr="002F3CAA" w:rsidRDefault="000F49AD" w:rsidP="00990312">
            <w:pPr>
              <w:tabs>
                <w:tab w:val="left" w:pos="1307"/>
              </w:tabs>
              <w:jc w:val="center"/>
              <w:rPr>
                <w:b/>
                <w:bCs/>
              </w:rPr>
            </w:pPr>
            <w:r>
              <w:rPr>
                <w:b/>
                <w:bCs/>
              </w:rPr>
              <w:t>Domaines visés</w:t>
            </w:r>
          </w:p>
        </w:tc>
        <w:tc>
          <w:tcPr>
            <w:tcW w:w="2693" w:type="dxa"/>
            <w:gridSpan w:val="2"/>
            <w:shd w:val="clear" w:color="auto" w:fill="CCC0D9" w:themeFill="accent4" w:themeFillTint="66"/>
            <w:vAlign w:val="center"/>
          </w:tcPr>
          <w:p w14:paraId="5C3DDEDB" w14:textId="77777777" w:rsidR="000F49AD" w:rsidRPr="002F3CAA" w:rsidRDefault="000F49AD" w:rsidP="00990312">
            <w:pPr>
              <w:tabs>
                <w:tab w:val="left" w:pos="1307"/>
              </w:tabs>
              <w:jc w:val="center"/>
              <w:rPr>
                <w:b/>
                <w:bCs/>
              </w:rPr>
            </w:pPr>
            <w:r w:rsidRPr="002F3CAA">
              <w:rPr>
                <w:b/>
                <w:bCs/>
              </w:rPr>
              <w:t>Porteurs de projet éligibles</w:t>
            </w:r>
          </w:p>
        </w:tc>
        <w:tc>
          <w:tcPr>
            <w:tcW w:w="4365" w:type="dxa"/>
            <w:gridSpan w:val="3"/>
            <w:shd w:val="clear" w:color="auto" w:fill="CCC0D9" w:themeFill="accent4" w:themeFillTint="66"/>
            <w:vAlign w:val="center"/>
          </w:tcPr>
          <w:p w14:paraId="7D57EA2E" w14:textId="316995E3" w:rsidR="000F49AD" w:rsidRPr="002F3CAA" w:rsidRDefault="000F49AD" w:rsidP="00990312">
            <w:pPr>
              <w:tabs>
                <w:tab w:val="left" w:pos="1307"/>
              </w:tabs>
              <w:jc w:val="center"/>
              <w:rPr>
                <w:b/>
                <w:bCs/>
              </w:rPr>
            </w:pPr>
            <w:r>
              <w:rPr>
                <w:b/>
                <w:bCs/>
              </w:rPr>
              <w:t>Type de partenariat</w:t>
            </w:r>
            <w:r w:rsidR="00623140">
              <w:rPr>
                <w:b/>
                <w:bCs/>
              </w:rPr>
              <w:t>*</w:t>
            </w:r>
          </w:p>
        </w:tc>
      </w:tr>
      <w:tr w:rsidR="009F646F" w14:paraId="14E42DFA" w14:textId="77777777" w:rsidTr="00E063E0">
        <w:trPr>
          <w:trHeight w:val="669"/>
        </w:trPr>
        <w:tc>
          <w:tcPr>
            <w:tcW w:w="2835" w:type="dxa"/>
            <w:gridSpan w:val="2"/>
            <w:shd w:val="clear" w:color="auto" w:fill="E5DFEC" w:themeFill="accent4" w:themeFillTint="33"/>
            <w:vAlign w:val="center"/>
          </w:tcPr>
          <w:p w14:paraId="5EEFD49C" w14:textId="03019DED" w:rsidR="00622E41" w:rsidRDefault="001E0B9F" w:rsidP="00777858">
            <w:pPr>
              <w:pStyle w:val="Paragraphedeliste"/>
              <w:numPr>
                <w:ilvl w:val="0"/>
                <w:numId w:val="12"/>
              </w:numPr>
              <w:tabs>
                <w:tab w:val="left" w:pos="1307"/>
              </w:tabs>
            </w:pPr>
            <w:r>
              <w:t>Sols et friches</w:t>
            </w:r>
          </w:p>
          <w:p w14:paraId="143121B9" w14:textId="77777777" w:rsidR="00622E41" w:rsidRDefault="00622E41" w:rsidP="00777858">
            <w:pPr>
              <w:pStyle w:val="Paragraphedeliste"/>
              <w:numPr>
                <w:ilvl w:val="0"/>
                <w:numId w:val="12"/>
              </w:numPr>
              <w:tabs>
                <w:tab w:val="left" w:pos="1307"/>
              </w:tabs>
            </w:pPr>
            <w:r>
              <w:t>Adaptation au changement climatique</w:t>
            </w:r>
          </w:p>
          <w:p w14:paraId="6978789A" w14:textId="508412BE" w:rsidR="00622E41" w:rsidRDefault="001E0B9F" w:rsidP="00777858">
            <w:pPr>
              <w:pStyle w:val="Paragraphedeliste"/>
              <w:numPr>
                <w:ilvl w:val="0"/>
                <w:numId w:val="12"/>
              </w:numPr>
              <w:tabs>
                <w:tab w:val="left" w:pos="1307"/>
              </w:tabs>
            </w:pPr>
            <w:r>
              <w:t>Agriculture-forêt</w:t>
            </w:r>
          </w:p>
          <w:p w14:paraId="42ACBD3E" w14:textId="77777777" w:rsidR="00622E41" w:rsidRDefault="001E0B9F" w:rsidP="00777858">
            <w:pPr>
              <w:pStyle w:val="Paragraphedeliste"/>
              <w:numPr>
                <w:ilvl w:val="0"/>
                <w:numId w:val="12"/>
              </w:numPr>
              <w:tabs>
                <w:tab w:val="left" w:pos="1307"/>
              </w:tabs>
            </w:pPr>
            <w:r>
              <w:t>Eaux et milieux</w:t>
            </w:r>
          </w:p>
          <w:p w14:paraId="4D358EE4" w14:textId="0A5DEE1A" w:rsidR="001E0B9F" w:rsidRDefault="001E0B9F" w:rsidP="00777858">
            <w:pPr>
              <w:pStyle w:val="Paragraphedeliste"/>
              <w:numPr>
                <w:ilvl w:val="0"/>
                <w:numId w:val="12"/>
              </w:numPr>
              <w:tabs>
                <w:tab w:val="left" w:pos="1307"/>
              </w:tabs>
            </w:pPr>
            <w:r>
              <w:t>Biodiversité</w:t>
            </w:r>
          </w:p>
        </w:tc>
        <w:tc>
          <w:tcPr>
            <w:tcW w:w="2835" w:type="dxa"/>
            <w:gridSpan w:val="2"/>
            <w:shd w:val="clear" w:color="auto" w:fill="E5DFEC" w:themeFill="accent4" w:themeFillTint="33"/>
            <w:vAlign w:val="center"/>
          </w:tcPr>
          <w:p w14:paraId="1AB790B4" w14:textId="147818DC" w:rsidR="009F646F" w:rsidRDefault="00AE77CB" w:rsidP="00990312">
            <w:pPr>
              <w:tabs>
                <w:tab w:val="left" w:pos="1307"/>
              </w:tabs>
              <w:jc w:val="center"/>
            </w:pPr>
            <w:r w:rsidRPr="00413D68">
              <w:t>Toute organisation active dans les domaines visés : universités, organismes de formation, associations, collectivités, etc</w:t>
            </w:r>
            <w:r w:rsidR="00D16390">
              <w:t>.</w:t>
            </w:r>
          </w:p>
        </w:tc>
        <w:tc>
          <w:tcPr>
            <w:tcW w:w="2268" w:type="dxa"/>
            <w:shd w:val="clear" w:color="auto" w:fill="E5DFEC" w:themeFill="accent4" w:themeFillTint="33"/>
            <w:vAlign w:val="center"/>
          </w:tcPr>
          <w:p w14:paraId="2CCB75EF" w14:textId="77777777" w:rsidR="00D16390" w:rsidRDefault="00D16390" w:rsidP="000F49AD">
            <w:pPr>
              <w:pStyle w:val="Paragraphedeliste"/>
            </w:pPr>
          </w:p>
          <w:p w14:paraId="68A71F1B" w14:textId="0000766A" w:rsidR="00CA67B5" w:rsidRDefault="00FD2D44" w:rsidP="000F49AD">
            <w:pPr>
              <w:pStyle w:val="Paragraphedeliste"/>
            </w:pPr>
            <w:r>
              <w:t>Au moins 3 partenaires</w:t>
            </w:r>
          </w:p>
          <w:p w14:paraId="0F3714FF" w14:textId="4DFDB90A" w:rsidR="000F49AD" w:rsidRPr="00C959B9" w:rsidRDefault="000F49AD" w:rsidP="000F49AD">
            <w:pPr>
              <w:pStyle w:val="Paragraphedeliste"/>
            </w:pPr>
          </w:p>
        </w:tc>
        <w:tc>
          <w:tcPr>
            <w:tcW w:w="1814" w:type="dxa"/>
            <w:shd w:val="clear" w:color="auto" w:fill="E5DFEC" w:themeFill="accent4" w:themeFillTint="33"/>
            <w:vAlign w:val="center"/>
          </w:tcPr>
          <w:p w14:paraId="4F2D38AD" w14:textId="5E5E78AD" w:rsidR="009F646F" w:rsidRDefault="00CA67B5" w:rsidP="00D16390">
            <w:pPr>
              <w:tabs>
                <w:tab w:val="left" w:pos="1307"/>
              </w:tabs>
              <w:jc w:val="center"/>
            </w:pPr>
            <w:r>
              <w:t>A</w:t>
            </w:r>
            <w:r w:rsidR="00FD2D44">
              <w:t>u moins trois Etats membres représentés</w:t>
            </w:r>
          </w:p>
        </w:tc>
      </w:tr>
      <w:tr w:rsidR="000F49AD" w:rsidRPr="002F3CAA" w14:paraId="7832EEDA" w14:textId="77777777" w:rsidTr="00E063E0">
        <w:trPr>
          <w:trHeight w:val="628"/>
        </w:trPr>
        <w:tc>
          <w:tcPr>
            <w:tcW w:w="2694" w:type="dxa"/>
            <w:shd w:val="clear" w:color="auto" w:fill="CCC0D9" w:themeFill="accent4" w:themeFillTint="66"/>
            <w:vAlign w:val="center"/>
          </w:tcPr>
          <w:p w14:paraId="10C47D3B" w14:textId="72320177" w:rsidR="000F49AD" w:rsidRPr="002F3CAA" w:rsidRDefault="000F49AD" w:rsidP="000F49AD">
            <w:pPr>
              <w:tabs>
                <w:tab w:val="left" w:pos="1307"/>
              </w:tabs>
              <w:jc w:val="center"/>
              <w:rPr>
                <w:b/>
                <w:bCs/>
              </w:rPr>
            </w:pPr>
            <w:r>
              <w:rPr>
                <w:b/>
                <w:bCs/>
              </w:rPr>
              <w:t>Typologie de projet</w:t>
            </w:r>
          </w:p>
        </w:tc>
        <w:tc>
          <w:tcPr>
            <w:tcW w:w="2693" w:type="dxa"/>
            <w:gridSpan w:val="2"/>
            <w:shd w:val="clear" w:color="auto" w:fill="CCC0D9" w:themeFill="accent4" w:themeFillTint="66"/>
            <w:vAlign w:val="center"/>
          </w:tcPr>
          <w:p w14:paraId="5D04F6C1" w14:textId="0057278D" w:rsidR="000F49AD" w:rsidRDefault="000F49AD" w:rsidP="000F49AD">
            <w:pPr>
              <w:tabs>
                <w:tab w:val="left" w:pos="1307"/>
              </w:tabs>
              <w:jc w:val="center"/>
              <w:rPr>
                <w:b/>
                <w:bCs/>
              </w:rPr>
            </w:pPr>
            <w:r w:rsidRPr="002F3CAA">
              <w:rPr>
                <w:b/>
                <w:bCs/>
              </w:rPr>
              <w:t>Forme de l’appui financier</w:t>
            </w:r>
          </w:p>
        </w:tc>
        <w:tc>
          <w:tcPr>
            <w:tcW w:w="2551" w:type="dxa"/>
            <w:gridSpan w:val="2"/>
            <w:shd w:val="clear" w:color="auto" w:fill="CCC0D9" w:themeFill="accent4" w:themeFillTint="66"/>
            <w:vAlign w:val="center"/>
          </w:tcPr>
          <w:p w14:paraId="227B3E67" w14:textId="3AA800A7" w:rsidR="000F49AD" w:rsidRPr="002F3CAA" w:rsidRDefault="000F49AD" w:rsidP="000F49AD">
            <w:pPr>
              <w:tabs>
                <w:tab w:val="left" w:pos="1307"/>
              </w:tabs>
              <w:jc w:val="center"/>
              <w:rPr>
                <w:b/>
                <w:bCs/>
              </w:rPr>
            </w:pPr>
            <w:r>
              <w:rPr>
                <w:b/>
                <w:bCs/>
              </w:rPr>
              <w:t>Budget moyen des projets</w:t>
            </w:r>
            <w:r w:rsidR="00623140">
              <w:rPr>
                <w:b/>
                <w:bCs/>
              </w:rPr>
              <w:t>*</w:t>
            </w:r>
          </w:p>
        </w:tc>
        <w:tc>
          <w:tcPr>
            <w:tcW w:w="1814" w:type="dxa"/>
            <w:shd w:val="clear" w:color="auto" w:fill="CCC0D9" w:themeFill="accent4" w:themeFillTint="66"/>
            <w:vAlign w:val="center"/>
          </w:tcPr>
          <w:p w14:paraId="6D15CBA8" w14:textId="33E8AB39" w:rsidR="000F49AD" w:rsidRPr="002F3CAA" w:rsidRDefault="000F49AD" w:rsidP="000F49AD">
            <w:pPr>
              <w:tabs>
                <w:tab w:val="left" w:pos="1307"/>
              </w:tabs>
              <w:jc w:val="center"/>
              <w:rPr>
                <w:b/>
                <w:bCs/>
              </w:rPr>
            </w:pPr>
            <w:r>
              <w:rPr>
                <w:b/>
                <w:bCs/>
              </w:rPr>
              <w:t>Taux d</w:t>
            </w:r>
            <w:r w:rsidR="006B7247">
              <w:rPr>
                <w:b/>
                <w:bCs/>
              </w:rPr>
              <w:t>’aide</w:t>
            </w:r>
          </w:p>
        </w:tc>
      </w:tr>
      <w:tr w:rsidR="009F646F" w14:paraId="4D4DDD38" w14:textId="77777777" w:rsidTr="00E063E0">
        <w:trPr>
          <w:trHeight w:val="645"/>
        </w:trPr>
        <w:tc>
          <w:tcPr>
            <w:tcW w:w="2694" w:type="dxa"/>
            <w:shd w:val="clear" w:color="auto" w:fill="E5DFEC" w:themeFill="accent4" w:themeFillTint="33"/>
            <w:vAlign w:val="center"/>
          </w:tcPr>
          <w:p w14:paraId="55022717" w14:textId="0860673D" w:rsidR="009F646F" w:rsidRDefault="00AE77CB" w:rsidP="00990312">
            <w:pPr>
              <w:tabs>
                <w:tab w:val="left" w:pos="1307"/>
              </w:tabs>
              <w:jc w:val="center"/>
            </w:pPr>
            <w:r>
              <w:t>Projet de recherche et d’innovation appliquées</w:t>
            </w:r>
          </w:p>
        </w:tc>
        <w:tc>
          <w:tcPr>
            <w:tcW w:w="2693" w:type="dxa"/>
            <w:gridSpan w:val="2"/>
            <w:shd w:val="clear" w:color="auto" w:fill="E5DFEC" w:themeFill="accent4" w:themeFillTint="33"/>
            <w:vAlign w:val="center"/>
          </w:tcPr>
          <w:p w14:paraId="4EA28DF9" w14:textId="52C54D89" w:rsidR="009F646F" w:rsidRDefault="00622E41" w:rsidP="00990312">
            <w:pPr>
              <w:tabs>
                <w:tab w:val="left" w:pos="1307"/>
              </w:tabs>
              <w:jc w:val="center"/>
            </w:pPr>
            <w:r>
              <w:t>Subvention</w:t>
            </w:r>
          </w:p>
        </w:tc>
        <w:tc>
          <w:tcPr>
            <w:tcW w:w="2551" w:type="dxa"/>
            <w:gridSpan w:val="2"/>
            <w:shd w:val="clear" w:color="auto" w:fill="E5DFEC" w:themeFill="accent4" w:themeFillTint="33"/>
            <w:vAlign w:val="center"/>
          </w:tcPr>
          <w:p w14:paraId="49F1EEAD" w14:textId="77777777" w:rsidR="004F5D78" w:rsidRDefault="001A7E43" w:rsidP="00990312">
            <w:pPr>
              <w:tabs>
                <w:tab w:val="left" w:pos="1307"/>
              </w:tabs>
              <w:jc w:val="center"/>
            </w:pPr>
            <w:r>
              <w:t>Défini par l’appel.</w:t>
            </w:r>
          </w:p>
          <w:p w14:paraId="4D2D6385" w14:textId="779B824D" w:rsidR="009F646F" w:rsidRDefault="001A7E43" w:rsidP="00990312">
            <w:pPr>
              <w:tabs>
                <w:tab w:val="left" w:pos="1307"/>
              </w:tabs>
              <w:jc w:val="center"/>
            </w:pPr>
            <w:r>
              <w:t xml:space="preserve">Entre 2 et </w:t>
            </w:r>
            <w:r w:rsidR="006B7057">
              <w:t>165</w:t>
            </w:r>
            <w:r>
              <w:t xml:space="preserve"> millions €</w:t>
            </w:r>
          </w:p>
        </w:tc>
        <w:tc>
          <w:tcPr>
            <w:tcW w:w="1814" w:type="dxa"/>
            <w:shd w:val="clear" w:color="auto" w:fill="E5DFEC" w:themeFill="accent4" w:themeFillTint="33"/>
            <w:vAlign w:val="center"/>
          </w:tcPr>
          <w:p w14:paraId="68F1BAB8" w14:textId="77777777" w:rsidR="009F646F" w:rsidRDefault="006B1E5C" w:rsidP="00990312">
            <w:pPr>
              <w:tabs>
                <w:tab w:val="left" w:pos="1307"/>
              </w:tabs>
              <w:jc w:val="center"/>
            </w:pPr>
            <w:r>
              <w:t>30 à 70% pour COFUND</w:t>
            </w:r>
          </w:p>
          <w:p w14:paraId="614FCBE4" w14:textId="5407377D" w:rsidR="006B1E5C" w:rsidRDefault="006B1E5C" w:rsidP="00990312">
            <w:pPr>
              <w:tabs>
                <w:tab w:val="left" w:pos="1307"/>
              </w:tabs>
              <w:jc w:val="center"/>
            </w:pPr>
            <w:r>
              <w:t>70 à 100% pour les autres</w:t>
            </w:r>
          </w:p>
        </w:tc>
      </w:tr>
      <w:tr w:rsidR="00446515" w14:paraId="3413642C" w14:textId="77777777" w:rsidTr="00E063E0">
        <w:trPr>
          <w:trHeight w:val="645"/>
        </w:trPr>
        <w:tc>
          <w:tcPr>
            <w:tcW w:w="2694" w:type="dxa"/>
            <w:shd w:val="clear" w:color="auto" w:fill="CCC0D9" w:themeFill="accent4" w:themeFillTint="66"/>
            <w:vAlign w:val="center"/>
          </w:tcPr>
          <w:p w14:paraId="0EC9FC7B" w14:textId="6DCA6FC4" w:rsidR="00446515" w:rsidRDefault="00446515" w:rsidP="006B7247">
            <w:pPr>
              <w:tabs>
                <w:tab w:val="left" w:pos="1307"/>
              </w:tabs>
              <w:jc w:val="center"/>
            </w:pPr>
            <w:r w:rsidRPr="002F3CAA">
              <w:rPr>
                <w:b/>
                <w:bCs/>
              </w:rPr>
              <w:t>Mode de candidature</w:t>
            </w:r>
          </w:p>
        </w:tc>
        <w:tc>
          <w:tcPr>
            <w:tcW w:w="2693" w:type="dxa"/>
            <w:gridSpan w:val="2"/>
            <w:shd w:val="clear" w:color="auto" w:fill="CCC0D9" w:themeFill="accent4" w:themeFillTint="66"/>
            <w:vAlign w:val="center"/>
          </w:tcPr>
          <w:p w14:paraId="75E7A5FD" w14:textId="0A2E9F74" w:rsidR="00446515" w:rsidRDefault="00446515" w:rsidP="006B7247">
            <w:pPr>
              <w:tabs>
                <w:tab w:val="left" w:pos="1307"/>
              </w:tabs>
              <w:jc w:val="center"/>
            </w:pPr>
            <w:r w:rsidRPr="000F49AD">
              <w:rPr>
                <w:b/>
                <w:bCs/>
              </w:rPr>
              <w:t>Taux de sélection</w:t>
            </w:r>
          </w:p>
        </w:tc>
        <w:tc>
          <w:tcPr>
            <w:tcW w:w="4365" w:type="dxa"/>
            <w:gridSpan w:val="3"/>
            <w:shd w:val="clear" w:color="auto" w:fill="CCC0D9" w:themeFill="accent4" w:themeFillTint="66"/>
            <w:vAlign w:val="center"/>
          </w:tcPr>
          <w:p w14:paraId="3DEC7A0F" w14:textId="23E2B14C" w:rsidR="00446515" w:rsidRPr="004F5D78" w:rsidRDefault="00446515" w:rsidP="006B7247">
            <w:pPr>
              <w:tabs>
                <w:tab w:val="left" w:pos="1307"/>
              </w:tabs>
              <w:jc w:val="center"/>
            </w:pPr>
            <w:r w:rsidRPr="00777858">
              <w:rPr>
                <w:b/>
                <w:bCs/>
              </w:rPr>
              <w:t>Durée des projets*</w:t>
            </w:r>
          </w:p>
        </w:tc>
      </w:tr>
      <w:tr w:rsidR="00446515" w14:paraId="2E79CC67" w14:textId="77777777" w:rsidTr="00E063E0">
        <w:trPr>
          <w:trHeight w:val="645"/>
        </w:trPr>
        <w:tc>
          <w:tcPr>
            <w:tcW w:w="2694" w:type="dxa"/>
            <w:shd w:val="clear" w:color="auto" w:fill="E5DFEC" w:themeFill="accent4" w:themeFillTint="33"/>
            <w:vAlign w:val="center"/>
          </w:tcPr>
          <w:p w14:paraId="66F6B3D7" w14:textId="7B910C7D" w:rsidR="00446515" w:rsidRDefault="00446515" w:rsidP="00990312">
            <w:pPr>
              <w:tabs>
                <w:tab w:val="left" w:pos="1307"/>
              </w:tabs>
              <w:jc w:val="center"/>
            </w:pPr>
            <w:r>
              <w:t>Une ou deux étapes</w:t>
            </w:r>
          </w:p>
        </w:tc>
        <w:tc>
          <w:tcPr>
            <w:tcW w:w="2693" w:type="dxa"/>
            <w:gridSpan w:val="2"/>
            <w:shd w:val="clear" w:color="auto" w:fill="E5DFEC" w:themeFill="accent4" w:themeFillTint="33"/>
            <w:vAlign w:val="center"/>
          </w:tcPr>
          <w:p w14:paraId="215E205D" w14:textId="65E7418D" w:rsidR="00446515" w:rsidRDefault="00446515" w:rsidP="00990312">
            <w:pPr>
              <w:tabs>
                <w:tab w:val="left" w:pos="1307"/>
              </w:tabs>
              <w:jc w:val="center"/>
            </w:pPr>
            <w:r>
              <w:t>7% (programme entier)</w:t>
            </w:r>
          </w:p>
        </w:tc>
        <w:tc>
          <w:tcPr>
            <w:tcW w:w="4365" w:type="dxa"/>
            <w:gridSpan w:val="3"/>
            <w:shd w:val="clear" w:color="auto" w:fill="E5DFEC" w:themeFill="accent4" w:themeFillTint="33"/>
            <w:vAlign w:val="center"/>
          </w:tcPr>
          <w:p w14:paraId="7CE9C00E" w14:textId="5B9E0FE1" w:rsidR="00446515" w:rsidRDefault="006B1E5C" w:rsidP="00990312">
            <w:pPr>
              <w:tabs>
                <w:tab w:val="left" w:pos="1307"/>
              </w:tabs>
              <w:jc w:val="center"/>
            </w:pPr>
            <w:r>
              <w:t>De 2 à 5 ans</w:t>
            </w:r>
          </w:p>
        </w:tc>
      </w:tr>
    </w:tbl>
    <w:p w14:paraId="2B2433B1" w14:textId="103E34C5" w:rsidR="00932D39" w:rsidRPr="00623140" w:rsidRDefault="00623140" w:rsidP="00821306">
      <w:pPr>
        <w:pBdr>
          <w:top w:val="nil"/>
          <w:left w:val="nil"/>
          <w:bottom w:val="nil"/>
          <w:right w:val="nil"/>
          <w:between w:val="nil"/>
        </w:pBdr>
        <w:jc w:val="both"/>
        <w:rPr>
          <w:i/>
          <w:iCs/>
        </w:rPr>
      </w:pPr>
      <w:r>
        <w:rPr>
          <w:i/>
          <w:iCs/>
        </w:rPr>
        <w:t xml:space="preserve">*Informations </w:t>
      </w:r>
      <w:r w:rsidRPr="00623140">
        <w:rPr>
          <w:i/>
          <w:iCs/>
        </w:rPr>
        <w:t>valables pour les projets « RIA »</w:t>
      </w:r>
      <w:r w:rsidR="00CA67B5">
        <w:rPr>
          <w:i/>
          <w:iCs/>
        </w:rPr>
        <w:t xml:space="preserve"> et « IA »</w:t>
      </w:r>
      <w:r w:rsidRPr="00623140">
        <w:rPr>
          <w:i/>
          <w:iCs/>
        </w:rPr>
        <w:t xml:space="preserve"> qui représentent environ </w:t>
      </w:r>
      <w:r w:rsidR="00CA67B5">
        <w:rPr>
          <w:i/>
          <w:iCs/>
        </w:rPr>
        <w:t>9</w:t>
      </w:r>
      <w:r w:rsidRPr="00623140">
        <w:rPr>
          <w:i/>
          <w:iCs/>
        </w:rPr>
        <w:t xml:space="preserve">0% des projets recherchés dans les appels à projet 2021-2022. </w:t>
      </w:r>
      <w:r w:rsidR="006B1E5C">
        <w:rPr>
          <w:i/>
          <w:iCs/>
        </w:rPr>
        <w:t>Pour plus d’informations sur ces projets et les autres types de projets Horizon Europe (</w:t>
      </w:r>
      <w:r w:rsidRPr="00623140">
        <w:rPr>
          <w:i/>
          <w:iCs/>
        </w:rPr>
        <w:t>CSA, COFUND), voir l</w:t>
      </w:r>
      <w:r w:rsidR="006B1E5C">
        <w:rPr>
          <w:i/>
          <w:iCs/>
        </w:rPr>
        <w:t>a fiche « H</w:t>
      </w:r>
      <w:r w:rsidR="004F5D78">
        <w:rPr>
          <w:i/>
          <w:iCs/>
        </w:rPr>
        <w:t xml:space="preserve">orizon </w:t>
      </w:r>
      <w:r w:rsidR="006B1E5C">
        <w:rPr>
          <w:i/>
          <w:iCs/>
        </w:rPr>
        <w:t>E</w:t>
      </w:r>
      <w:r w:rsidR="004F5D78">
        <w:rPr>
          <w:i/>
          <w:iCs/>
        </w:rPr>
        <w:t>urope</w:t>
      </w:r>
      <w:r w:rsidR="006B1E5C">
        <w:rPr>
          <w:i/>
          <w:iCs/>
        </w:rPr>
        <w:t>- Présentation générale »</w:t>
      </w:r>
    </w:p>
    <w:p w14:paraId="2724DF1A" w14:textId="4C8FB9F8" w:rsidR="00377899" w:rsidRDefault="00377899">
      <w:pPr>
        <w:pBdr>
          <w:top w:val="nil"/>
          <w:left w:val="nil"/>
          <w:bottom w:val="nil"/>
          <w:right w:val="nil"/>
          <w:between w:val="nil"/>
        </w:pBdr>
      </w:pPr>
    </w:p>
    <w:p w14:paraId="39EA6014" w14:textId="7A7CE1A6" w:rsidR="004F5D78" w:rsidRDefault="008F0FCD" w:rsidP="004F5D78">
      <w:pPr>
        <w:pBdr>
          <w:top w:val="nil"/>
          <w:left w:val="nil"/>
          <w:bottom w:val="nil"/>
          <w:right w:val="nil"/>
          <w:between w:val="nil"/>
        </w:pBdr>
        <w:tabs>
          <w:tab w:val="left" w:pos="1307"/>
        </w:tabs>
        <w:jc w:val="both"/>
        <w:rPr>
          <w:color w:val="000000"/>
        </w:rPr>
      </w:pPr>
      <w:r w:rsidRPr="00CB4FA0">
        <w:rPr>
          <w:color w:val="000000"/>
        </w:rPr>
        <w:t>Le 25 juillet 1983, une résolution du Conseil a institué des programmes-cadres pour des activités communautaires de recherche, de développement et de démonstration, et a ainsi lancé le premier PCRD, pour la période 1984-1987</w:t>
      </w:r>
      <w:r>
        <w:rPr>
          <w:color w:val="000000"/>
        </w:rPr>
        <w:t>. Le programme Horizon Europe</w:t>
      </w:r>
      <w:r w:rsidR="004F5D78">
        <w:rPr>
          <w:color w:val="000000"/>
        </w:rPr>
        <w:t xml:space="preserve"> (2021-2027)</w:t>
      </w:r>
      <w:r>
        <w:rPr>
          <w:color w:val="000000"/>
        </w:rPr>
        <w:t xml:space="preserve"> sera le 9</w:t>
      </w:r>
      <w:r w:rsidRPr="00CB4FA0">
        <w:rPr>
          <w:color w:val="000000"/>
          <w:vertAlign w:val="superscript"/>
        </w:rPr>
        <w:t>e</w:t>
      </w:r>
      <w:r>
        <w:rPr>
          <w:color w:val="000000"/>
        </w:rPr>
        <w:t xml:space="preserve"> renouvellement de ce programme, </w:t>
      </w:r>
      <w:r>
        <w:rPr>
          <w:color w:val="000000"/>
        </w:rPr>
        <w:lastRenderedPageBreak/>
        <w:t>après le FP7 (2007-2013)</w:t>
      </w:r>
      <w:r w:rsidR="004F5D78">
        <w:rPr>
          <w:color w:val="000000"/>
        </w:rPr>
        <w:t xml:space="preserve"> et</w:t>
      </w:r>
      <w:r>
        <w:rPr>
          <w:color w:val="000000"/>
        </w:rPr>
        <w:t xml:space="preserve"> Horizon 2020 (2014-2020). Il est géré directement par la Commission, et disposera pour la nouvelle programmation de 95.5 milliards d’euros de budget (don</w:t>
      </w:r>
      <w:r w:rsidR="004F5D78">
        <w:rPr>
          <w:color w:val="000000"/>
        </w:rPr>
        <w:t>t</w:t>
      </w:r>
      <w:r>
        <w:rPr>
          <w:color w:val="000000"/>
        </w:rPr>
        <w:t xml:space="preserve"> 5 milliards issus du Plan de relance). </w:t>
      </w:r>
    </w:p>
    <w:p w14:paraId="6B7557E9" w14:textId="77777777" w:rsidR="004F5D78" w:rsidRPr="00746390" w:rsidRDefault="004F5D78" w:rsidP="00777858">
      <w:pPr>
        <w:pBdr>
          <w:top w:val="nil"/>
          <w:left w:val="nil"/>
          <w:bottom w:val="nil"/>
          <w:right w:val="nil"/>
          <w:between w:val="nil"/>
        </w:pBdr>
        <w:tabs>
          <w:tab w:val="left" w:pos="1307"/>
        </w:tabs>
        <w:jc w:val="both"/>
      </w:pPr>
    </w:p>
    <w:p w14:paraId="4A9C369B" w14:textId="77777777" w:rsidR="008F0FCD" w:rsidRDefault="008F0FCD" w:rsidP="00777858">
      <w:pPr>
        <w:pBdr>
          <w:top w:val="nil"/>
          <w:left w:val="nil"/>
          <w:bottom w:val="nil"/>
          <w:right w:val="nil"/>
          <w:between w:val="nil"/>
        </w:pBdr>
        <w:tabs>
          <w:tab w:val="left" w:pos="1307"/>
        </w:tabs>
        <w:jc w:val="both"/>
      </w:pPr>
      <w:r>
        <w:rPr>
          <w:color w:val="000000"/>
        </w:rPr>
        <w:t>Des programmes de travail sont publiés tous les 2 ans pour présenter, à l’avance, les appels prévus sur la période. Le programme de travail 2021-2022 est donc publié, et sera suivi par la publication, fin 2022, de programmes de travail couvrant la période 2023-2024.</w:t>
      </w:r>
    </w:p>
    <w:p w14:paraId="65E7A602" w14:textId="77777777" w:rsidR="008F0FCD" w:rsidRDefault="008F0FCD" w:rsidP="008F0FCD">
      <w:pPr>
        <w:jc w:val="both"/>
      </w:pPr>
    </w:p>
    <w:p w14:paraId="02D8826E" w14:textId="53B6DCB3" w:rsidR="008F0FCD" w:rsidRDefault="008F0FCD" w:rsidP="008F0FCD">
      <w:pPr>
        <w:jc w:val="both"/>
      </w:pPr>
      <w:r>
        <w:t xml:space="preserve">Le programme Horizon Europe a pour but de financer la recherche et le développement de l’innovation de l’Union européenne. Contrairement à certaines idées reçues il ne vise pas uniquement le financement de la recherche fondamentale (recherche en laboratoire, qui est prise en charge par le premier pilier du programme) mais bien l’innovation dans son ensemble, via le financement la prise de risque, de tests, de démonstrations, de modélisations, etc. Le pilier </w:t>
      </w:r>
      <w:r w:rsidR="004F5D78">
        <w:t>2</w:t>
      </w:r>
      <w:r>
        <w:t xml:space="preserve"> notamment, dans lequel se situe le cluster présenté ici finance des projets de </w:t>
      </w:r>
      <w:r>
        <w:rPr>
          <w:b/>
          <w:bCs/>
        </w:rPr>
        <w:t>recherche et d’innovation appliquée</w:t>
      </w:r>
      <w:r>
        <w:t xml:space="preserve">, c’est-à-dire des projets innovants testant de nouvelles solutions, y compris sur le terrain, à des échelles plus ou moins développées. </w:t>
      </w:r>
    </w:p>
    <w:p w14:paraId="5D93A769" w14:textId="77777777" w:rsidR="00A04130" w:rsidRPr="008818D4" w:rsidRDefault="00A04130">
      <w:pPr>
        <w:pBdr>
          <w:top w:val="nil"/>
          <w:left w:val="nil"/>
          <w:bottom w:val="nil"/>
          <w:right w:val="nil"/>
          <w:between w:val="nil"/>
        </w:pBdr>
      </w:pPr>
    </w:p>
    <w:p w14:paraId="0173EA5C" w14:textId="77777777"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3E8FCECF" w14:textId="19727BC5" w:rsidR="007A6B89" w:rsidRDefault="00182A58" w:rsidP="00777858">
      <w:pPr>
        <w:pBdr>
          <w:top w:val="nil"/>
          <w:left w:val="nil"/>
          <w:bottom w:val="nil"/>
          <w:right w:val="nil"/>
          <w:between w:val="nil"/>
        </w:pBdr>
        <w:jc w:val="both"/>
      </w:pPr>
      <w:r>
        <w:t xml:space="preserve">Ce cluster </w:t>
      </w:r>
      <w:r w:rsidR="00970B08">
        <w:t>6</w:t>
      </w:r>
      <w:r>
        <w:t xml:space="preserve"> concerne un grand nombre de domaines stratégiques pour le Grand Est, ses priorités étant très larges.</w:t>
      </w:r>
      <w:r w:rsidR="007A6B89">
        <w:t xml:space="preserve"> </w:t>
      </w:r>
    </w:p>
    <w:p w14:paraId="175AF5A0" w14:textId="02910E24" w:rsidR="00AD4300" w:rsidRDefault="00AD4300" w:rsidP="009B1F2E">
      <w:pPr>
        <w:pBdr>
          <w:top w:val="nil"/>
          <w:left w:val="nil"/>
          <w:bottom w:val="nil"/>
          <w:right w:val="nil"/>
          <w:between w:val="nil"/>
        </w:pBdr>
      </w:pPr>
    </w:p>
    <w:p w14:paraId="74471C5F" w14:textId="2E7122DA" w:rsidR="005C640E" w:rsidRDefault="009B57F0" w:rsidP="00777858">
      <w:pPr>
        <w:pBdr>
          <w:top w:val="nil"/>
          <w:left w:val="nil"/>
          <w:bottom w:val="nil"/>
          <w:right w:val="nil"/>
          <w:between w:val="nil"/>
        </w:pBdr>
        <w:jc w:val="both"/>
      </w:pPr>
      <w:r>
        <w:t xml:space="preserve">Il est découpé en </w:t>
      </w:r>
      <w:r w:rsidR="005C640E">
        <w:t>5</w:t>
      </w:r>
      <w:r>
        <w:t xml:space="preserve"> grands « thèmes » </w:t>
      </w:r>
      <w:r w:rsidR="00E063E0">
        <w:t xml:space="preserve">qui recouvrent également des domaines à enjeux clefs pour le territoire de la Région Grand Est </w:t>
      </w:r>
      <w:r>
        <w:t xml:space="preserve">: </w:t>
      </w:r>
    </w:p>
    <w:p w14:paraId="301A8B7D" w14:textId="77777777" w:rsidR="005C640E" w:rsidRDefault="005C640E" w:rsidP="005C640E">
      <w:pPr>
        <w:pStyle w:val="Paragraphedeliste"/>
        <w:numPr>
          <w:ilvl w:val="0"/>
          <w:numId w:val="28"/>
        </w:numPr>
        <w:pBdr>
          <w:top w:val="nil"/>
          <w:left w:val="nil"/>
          <w:bottom w:val="nil"/>
          <w:right w:val="nil"/>
          <w:between w:val="nil"/>
        </w:pBdr>
      </w:pPr>
      <w:r>
        <w:t>Alimentation</w:t>
      </w:r>
    </w:p>
    <w:p w14:paraId="47372681" w14:textId="77777777" w:rsidR="005C640E" w:rsidRDefault="005C640E" w:rsidP="005C640E">
      <w:pPr>
        <w:pStyle w:val="Paragraphedeliste"/>
        <w:numPr>
          <w:ilvl w:val="0"/>
          <w:numId w:val="28"/>
        </w:numPr>
        <w:pBdr>
          <w:top w:val="nil"/>
          <w:left w:val="nil"/>
          <w:bottom w:val="nil"/>
          <w:right w:val="nil"/>
          <w:between w:val="nil"/>
        </w:pBdr>
      </w:pPr>
      <w:r>
        <w:t>Bioéconomie</w:t>
      </w:r>
    </w:p>
    <w:p w14:paraId="56823834" w14:textId="77777777" w:rsidR="005C640E" w:rsidRDefault="005C640E" w:rsidP="005C640E">
      <w:pPr>
        <w:pStyle w:val="Paragraphedeliste"/>
        <w:numPr>
          <w:ilvl w:val="0"/>
          <w:numId w:val="28"/>
        </w:numPr>
        <w:pBdr>
          <w:top w:val="nil"/>
          <w:left w:val="nil"/>
          <w:bottom w:val="nil"/>
          <w:right w:val="nil"/>
          <w:between w:val="nil"/>
        </w:pBdr>
      </w:pPr>
      <w:r>
        <w:t>Ressources naturelles</w:t>
      </w:r>
    </w:p>
    <w:p w14:paraId="769AC63F" w14:textId="77777777" w:rsidR="005C640E" w:rsidRDefault="005C640E" w:rsidP="005C640E">
      <w:pPr>
        <w:pStyle w:val="Paragraphedeliste"/>
        <w:numPr>
          <w:ilvl w:val="0"/>
          <w:numId w:val="28"/>
        </w:numPr>
        <w:pBdr>
          <w:top w:val="nil"/>
          <w:left w:val="nil"/>
          <w:bottom w:val="nil"/>
          <w:right w:val="nil"/>
          <w:between w:val="nil"/>
        </w:pBdr>
      </w:pPr>
      <w:r>
        <w:t>Agriculture</w:t>
      </w:r>
    </w:p>
    <w:p w14:paraId="7FEE8EB7" w14:textId="32FC87DD" w:rsidR="009B57F0" w:rsidRDefault="005C640E" w:rsidP="005C640E">
      <w:pPr>
        <w:pStyle w:val="Paragraphedeliste"/>
        <w:numPr>
          <w:ilvl w:val="0"/>
          <w:numId w:val="28"/>
        </w:numPr>
        <w:pBdr>
          <w:top w:val="nil"/>
          <w:left w:val="nil"/>
          <w:bottom w:val="nil"/>
          <w:right w:val="nil"/>
          <w:between w:val="nil"/>
        </w:pBdr>
      </w:pPr>
      <w:r>
        <w:t>Environnement</w:t>
      </w:r>
      <w:r w:rsidR="009B57F0">
        <w:t xml:space="preserve"> </w:t>
      </w:r>
    </w:p>
    <w:p w14:paraId="570C010C" w14:textId="77777777" w:rsidR="009B57F0" w:rsidRDefault="009B57F0" w:rsidP="00AD4300">
      <w:pPr>
        <w:pStyle w:val="Default"/>
        <w:rPr>
          <w:sz w:val="22"/>
          <w:szCs w:val="22"/>
        </w:rPr>
      </w:pPr>
    </w:p>
    <w:p w14:paraId="543AC2E5" w14:textId="21871175" w:rsidR="00224C99" w:rsidRDefault="00091FAB" w:rsidP="00224C99">
      <w:pPr>
        <w:jc w:val="both"/>
      </w:pPr>
      <w:r>
        <w:t xml:space="preserve">Ce cluster 6, en visant à financer des projets de recherche et d’innovation, touche donc certaines thématiques visées par la Région Grand Est mais avec un </w:t>
      </w:r>
      <w:r w:rsidRPr="00E063E0">
        <w:rPr>
          <w:b/>
          <w:bCs/>
        </w:rPr>
        <w:t>angle de recherche de connaissance et de nouvelles solutions</w:t>
      </w:r>
      <w:r>
        <w:t>. Les domaines concernés pour la Région Grand Est sont les domaines suivants :</w:t>
      </w:r>
    </w:p>
    <w:p w14:paraId="55B56921" w14:textId="3C4BF449" w:rsidR="00091FAB" w:rsidRDefault="00091FAB" w:rsidP="00091FAB">
      <w:pPr>
        <w:pStyle w:val="Paragraphedeliste"/>
        <w:numPr>
          <w:ilvl w:val="0"/>
          <w:numId w:val="28"/>
        </w:numPr>
        <w:jc w:val="both"/>
      </w:pPr>
      <w:r w:rsidRPr="00E063E0">
        <w:rPr>
          <w:b/>
          <w:bCs/>
        </w:rPr>
        <w:t>Sols et friches</w:t>
      </w:r>
      <w:r>
        <w:t>. En cherchant à lutter contre la pollution des sols le programme HE permet d’aborder les questions de la pollution mais aussi de l’imperméabilisation des sols</w:t>
      </w:r>
      <w:r w:rsidR="004F5D78">
        <w:t>.</w:t>
      </w:r>
    </w:p>
    <w:p w14:paraId="4A48EE19" w14:textId="0809E939" w:rsidR="00091FAB" w:rsidRDefault="00091FAB" w:rsidP="00091FAB">
      <w:pPr>
        <w:pStyle w:val="Paragraphedeliste"/>
        <w:numPr>
          <w:ilvl w:val="0"/>
          <w:numId w:val="28"/>
        </w:numPr>
        <w:jc w:val="both"/>
      </w:pPr>
      <w:r w:rsidRPr="00E063E0">
        <w:rPr>
          <w:b/>
          <w:bCs/>
        </w:rPr>
        <w:t>Adaptation au changement climatique</w:t>
      </w:r>
      <w:r>
        <w:t> : ce cluster vise à identifier les moyens permettant de rendre les villes, zones côtières et zones rurales plus résiliente face aux effets du changement climatique. Les secteurs de l’agriculture, de l’agroforesterie et de l’industrie sont également concernés.</w:t>
      </w:r>
    </w:p>
    <w:p w14:paraId="4F496FDA" w14:textId="7536ED62" w:rsidR="00091FAB" w:rsidRDefault="00091FAB" w:rsidP="00091FAB">
      <w:pPr>
        <w:pStyle w:val="Paragraphedeliste"/>
        <w:numPr>
          <w:ilvl w:val="0"/>
          <w:numId w:val="28"/>
        </w:numPr>
        <w:jc w:val="both"/>
      </w:pPr>
      <w:r>
        <w:t xml:space="preserve">Des innovations en matière de </w:t>
      </w:r>
      <w:r w:rsidRPr="00E063E0">
        <w:rPr>
          <w:b/>
          <w:bCs/>
        </w:rPr>
        <w:t>gestion forestière et d’agriculture bas carbone/durable</w:t>
      </w:r>
      <w:r>
        <w:t xml:space="preserve"> en matière de biodiversité sont recherchés (réduction des polluants, bioéconomie, diversification des productions, pratiques adaptées, etc.)</w:t>
      </w:r>
      <w:r w:rsidR="004F5D78">
        <w:t>.</w:t>
      </w:r>
    </w:p>
    <w:p w14:paraId="3F651B9C" w14:textId="7C87FF13" w:rsidR="00091FAB" w:rsidRDefault="00091FAB" w:rsidP="00091FAB">
      <w:pPr>
        <w:pStyle w:val="Paragraphedeliste"/>
        <w:numPr>
          <w:ilvl w:val="0"/>
          <w:numId w:val="28"/>
        </w:numPr>
        <w:jc w:val="both"/>
      </w:pPr>
      <w:r>
        <w:t xml:space="preserve">La </w:t>
      </w:r>
      <w:r w:rsidRPr="00E063E0">
        <w:rPr>
          <w:b/>
          <w:bCs/>
        </w:rPr>
        <w:t>protection des eaux et milieux</w:t>
      </w:r>
      <w:r>
        <w:t xml:space="preserve"> est un aspect très fort de ce cluster, qui se retrouve dans la plupart de ces Destinations, et vise à la fois à protéger la qualité des eaux (de surface, souterraine, maritime etc.) mais aussi à mieux gérer la ressource, et la gestion des eaux usées (notamment en milieu urbain).</w:t>
      </w:r>
    </w:p>
    <w:p w14:paraId="085176B7" w14:textId="4552DB37" w:rsidR="00091FAB" w:rsidRDefault="00091FAB" w:rsidP="00091FAB">
      <w:pPr>
        <w:pStyle w:val="Paragraphedeliste"/>
        <w:numPr>
          <w:ilvl w:val="0"/>
          <w:numId w:val="28"/>
        </w:numPr>
        <w:jc w:val="both"/>
      </w:pPr>
      <w:r>
        <w:t xml:space="preserve">La question de la </w:t>
      </w:r>
      <w:r w:rsidRPr="00E063E0">
        <w:rPr>
          <w:b/>
          <w:bCs/>
        </w:rPr>
        <w:t>biodiversité</w:t>
      </w:r>
      <w:r>
        <w:t xml:space="preserve"> est transversale dans chacune des Destinations de ce cluster, mais certains points mis en avant correspondent de manière quasi exacte avec les objectifs de la Région Grand Est, à savoir : la </w:t>
      </w:r>
      <w:r w:rsidRPr="00E063E0">
        <w:rPr>
          <w:b/>
          <w:bCs/>
        </w:rPr>
        <w:t>sensibilisation et la participation citoyenne</w:t>
      </w:r>
      <w:r w:rsidR="00B35959">
        <w:t xml:space="preserve"> et</w:t>
      </w:r>
      <w:r>
        <w:t xml:space="preserve"> la lutte contre les espèces exotiques envahissantes</w:t>
      </w:r>
      <w:r w:rsidR="00B35959">
        <w:t>.</w:t>
      </w:r>
    </w:p>
    <w:p w14:paraId="16B0948A" w14:textId="293D8F81" w:rsidR="00E063E0" w:rsidRDefault="00443D1C" w:rsidP="00091FAB">
      <w:pPr>
        <w:pStyle w:val="Paragraphedeliste"/>
        <w:numPr>
          <w:ilvl w:val="0"/>
          <w:numId w:val="28"/>
        </w:numPr>
        <w:jc w:val="both"/>
      </w:pPr>
      <w:r w:rsidRPr="00777858">
        <w:rPr>
          <w:b/>
          <w:bCs/>
        </w:rPr>
        <w:t>La décarbonation des entreprises et l’efficacité d’utilisation des ressources</w:t>
      </w:r>
      <w:r>
        <w:t> : l</w:t>
      </w:r>
      <w:r w:rsidR="00E063E0">
        <w:t>’aspect industriel, avec la recherche de solutions innovantes de la part de tous les secteurs, à la fois dans les méthodes de production, mais aussi dans la consommation des ressources et le développement de la bioéconomie.</w:t>
      </w:r>
    </w:p>
    <w:p w14:paraId="549B4742" w14:textId="77777777" w:rsidR="00E063E0" w:rsidRDefault="00E063E0" w:rsidP="00846665">
      <w:pPr>
        <w:jc w:val="both"/>
      </w:pPr>
    </w:p>
    <w:p w14:paraId="57A7223F" w14:textId="260D6542" w:rsidR="00B35959" w:rsidRPr="00B35959" w:rsidRDefault="00B35959" w:rsidP="00B35959">
      <w:pPr>
        <w:jc w:val="both"/>
      </w:pPr>
      <w:r w:rsidRPr="00B35959">
        <w:lastRenderedPageBreak/>
        <w:t>Le cluster 6 ne v</w:t>
      </w:r>
      <w:r>
        <w:t>ise cependant pas des actions de restauration « pure » des habitats, ni de protection des espèces, mais vise avant tout le développement de connaissances et le développement et le test de nouvelles solutions.</w:t>
      </w:r>
    </w:p>
    <w:p w14:paraId="7EDB73E9" w14:textId="1F486E38" w:rsidR="00E77CE0" w:rsidRPr="00AF0D4A" w:rsidRDefault="00AF0D4A" w:rsidP="00AF0D4A">
      <w:pPr>
        <w:numPr>
          <w:ilvl w:val="0"/>
          <w:numId w:val="8"/>
        </w:numPr>
        <w:spacing w:before="360" w:after="240"/>
        <w:jc w:val="both"/>
        <w:rPr>
          <w:rFonts w:eastAsia="Times New Roman" w:cs="Times New Roman"/>
          <w:b/>
          <w:color w:val="403152"/>
          <w:sz w:val="24"/>
          <w:szCs w:val="24"/>
        </w:rPr>
      </w:pPr>
      <w:r w:rsidRPr="00AF0D4A">
        <w:rPr>
          <w:rFonts w:eastAsia="Times New Roman" w:cs="Times New Roman"/>
          <w:b/>
          <w:color w:val="403152"/>
          <w:sz w:val="24"/>
          <w:szCs w:val="24"/>
        </w:rPr>
        <w:t>Description du programme</w:t>
      </w:r>
    </w:p>
    <w:p w14:paraId="00000017" w14:textId="2F22F9A7" w:rsidR="00CC781C" w:rsidRDefault="007C303F">
      <w:pPr>
        <w:pStyle w:val="Titre1"/>
        <w:ind w:firstLine="360"/>
      </w:pPr>
      <w:sdt>
        <w:sdtPr>
          <w:tag w:val="goog_rdk_5"/>
          <w:id w:val="-1889330677"/>
          <w:showingPlcHdr/>
        </w:sdtPr>
        <w:sdtEndPr/>
        <w:sdtContent>
          <w:r w:rsidR="00AF0D4A">
            <w:t xml:space="preserve">     </w:t>
          </w:r>
        </w:sdtContent>
      </w:sdt>
      <w:r w:rsidR="008F7158">
        <w:t xml:space="preserve">Présentation </w:t>
      </w:r>
      <w:r w:rsidR="00AC30C8">
        <w:t>du cluster</w:t>
      </w:r>
    </w:p>
    <w:p w14:paraId="00000018" w14:textId="7046CE57" w:rsidR="00CC781C" w:rsidRDefault="00CC781C"/>
    <w:p w14:paraId="14AD8EA4" w14:textId="5B5085BF" w:rsidR="007A6B89" w:rsidRDefault="007A6B89" w:rsidP="007A6B89">
      <w:pPr>
        <w:pBdr>
          <w:top w:val="nil"/>
          <w:left w:val="nil"/>
          <w:bottom w:val="nil"/>
          <w:right w:val="nil"/>
          <w:between w:val="nil"/>
        </w:pBdr>
        <w:jc w:val="both"/>
      </w:pPr>
      <w:r>
        <w:t>Il vise en priorité à répondre aux objectifs de l’ONU pour le Développement durable et le climat, tout en préservant les objectifs économiques et l’innovation des acteurs européens. Il ne faut en effet pas oublie</w:t>
      </w:r>
      <w:r w:rsidR="00443D1C">
        <w:t>r</w:t>
      </w:r>
      <w:r>
        <w:t xml:space="preserve"> que ce cluster se trouve dans le pilier 2 « Problématiques mondiales et </w:t>
      </w:r>
      <w:r w:rsidR="004334E5">
        <w:t>c</w:t>
      </w:r>
      <w:r>
        <w:t>ompétitivité européenne »</w:t>
      </w:r>
      <w:r w:rsidR="00443D1C">
        <w:t>.</w:t>
      </w:r>
    </w:p>
    <w:p w14:paraId="6145DDCD" w14:textId="0F71E5B3" w:rsidR="007A6B89" w:rsidRDefault="002F0F60" w:rsidP="007A6B89">
      <w:pPr>
        <w:pBdr>
          <w:top w:val="nil"/>
          <w:left w:val="nil"/>
          <w:bottom w:val="nil"/>
          <w:right w:val="nil"/>
          <w:between w:val="nil"/>
        </w:pBdr>
        <w:jc w:val="both"/>
      </w:pPr>
      <w:r>
        <w:t>C’est</w:t>
      </w:r>
      <w:r w:rsidR="007A6B89">
        <w:t xml:space="preserve"> le cluster avec l’augmentation budgétaire la plus importante pour 2021-202</w:t>
      </w:r>
      <w:r w:rsidR="00405775">
        <w:t>7</w:t>
      </w:r>
      <w:r>
        <w:t>, avec</w:t>
      </w:r>
      <w:r w:rsidR="00B37B5F">
        <w:t xml:space="preserve"> un budget d’environ 6.5 milliards d’euros pour le financement des appels à projet</w:t>
      </w:r>
      <w:r w:rsidR="00E55ECF">
        <w:t>s</w:t>
      </w:r>
      <w:r>
        <w:t xml:space="preserve"> (le reste de son budget servant à financer différentes missions et partenariats).</w:t>
      </w:r>
    </w:p>
    <w:p w14:paraId="2D8C58BB" w14:textId="77777777" w:rsidR="00816FC4" w:rsidRDefault="00816FC4" w:rsidP="007A6B89">
      <w:pPr>
        <w:jc w:val="both"/>
      </w:pPr>
    </w:p>
    <w:p w14:paraId="03CBD151" w14:textId="329AD739" w:rsidR="007A6B89" w:rsidRDefault="007A6B89" w:rsidP="003C627E">
      <w:pPr>
        <w:jc w:val="both"/>
      </w:pPr>
      <w:r>
        <w:t xml:space="preserve">Ce cluster est celui qui encourage le plus </w:t>
      </w:r>
      <w:r w:rsidRPr="00322FBE">
        <w:rPr>
          <w:b/>
          <w:bCs/>
        </w:rPr>
        <w:t>la coopération internationale</w:t>
      </w:r>
      <w:r>
        <w:t>, et met surtout en avant le besoin de former des partenariats regroupant toute la chaine des acteurs impliqués : ONG, associations, mais aussi selon les sujets les agriculteurs, pêcheurs, industriels, etc.</w:t>
      </w:r>
      <w:r w:rsidR="00405775">
        <w:t xml:space="preserve"> Ces projets sont donc souvent des projets rassemblent un grand nombre d’acteurs (entre 10 et 50 selon les appels et la thématique du sujet).</w:t>
      </w:r>
    </w:p>
    <w:p w14:paraId="75CCBF74" w14:textId="77777777" w:rsidR="003C627E" w:rsidRDefault="003C627E" w:rsidP="003C627E"/>
    <w:p w14:paraId="4C5480AA" w14:textId="31192138" w:rsidR="003C627E" w:rsidRDefault="003C627E" w:rsidP="003C627E">
      <w:r>
        <w:t xml:space="preserve">Les impacts attendus de ce cluster sont contenus dans le </w:t>
      </w:r>
      <w:hyperlink r:id="rId9" w:history="1">
        <w:r w:rsidRPr="00200CDF">
          <w:rPr>
            <w:rStyle w:val="Lienhypertexte"/>
          </w:rPr>
          <w:t>plan stratégique Horizon Europe</w:t>
        </w:r>
      </w:hyperlink>
      <w:r>
        <w:t>.</w:t>
      </w:r>
    </w:p>
    <w:p w14:paraId="6A72142C" w14:textId="77777777" w:rsidR="00E3268A" w:rsidRDefault="00E3268A" w:rsidP="00D41765"/>
    <w:p w14:paraId="597F841E" w14:textId="793F829D" w:rsidR="00D41765" w:rsidRDefault="00405775" w:rsidP="00777858">
      <w:pPr>
        <w:jc w:val="both"/>
      </w:pPr>
      <w:r>
        <w:t>Il</w:t>
      </w:r>
      <w:r w:rsidR="00200CDF">
        <w:t xml:space="preserve"> comprend </w:t>
      </w:r>
      <w:r w:rsidR="002F0EBF">
        <w:t>7</w:t>
      </w:r>
      <w:r w:rsidR="00D41765">
        <w:t xml:space="preserve"> Destinations</w:t>
      </w:r>
      <w:r w:rsidR="004C2558">
        <w:t xml:space="preserve"> (</w:t>
      </w:r>
      <w:r w:rsidR="0097290A">
        <w:t xml:space="preserve">qui sont des « groupes thématiques », </w:t>
      </w:r>
      <w:r w:rsidR="004C2558">
        <w:t>chacune regroupant les appels à projet</w:t>
      </w:r>
      <w:r w:rsidR="003A5ED3">
        <w:t>s</w:t>
      </w:r>
      <w:r w:rsidR="004C2558">
        <w:t xml:space="preserve"> répondant à cette thématique) :</w:t>
      </w:r>
    </w:p>
    <w:p w14:paraId="7EC5F4C9" w14:textId="1FB0F2EA" w:rsidR="002F0EBF" w:rsidRDefault="004C2558" w:rsidP="00D41765">
      <w:pPr>
        <w:pStyle w:val="Paragraphedeliste"/>
        <w:numPr>
          <w:ilvl w:val="0"/>
          <w:numId w:val="15"/>
        </w:numPr>
      </w:pPr>
      <w:r>
        <w:t>Biodiversité et services écosystémiques</w:t>
      </w:r>
    </w:p>
    <w:p w14:paraId="6263C64F" w14:textId="125287BA" w:rsidR="004C2558" w:rsidRDefault="004C2558" w:rsidP="00D41765">
      <w:pPr>
        <w:pStyle w:val="Paragraphedeliste"/>
        <w:numPr>
          <w:ilvl w:val="0"/>
          <w:numId w:val="15"/>
        </w:numPr>
      </w:pPr>
      <w:r>
        <w:t>Systèmes alimentaires, de la production à la consommation</w:t>
      </w:r>
    </w:p>
    <w:p w14:paraId="032DAFE2" w14:textId="1482CA3B" w:rsidR="004C2558" w:rsidRDefault="003A5ED3" w:rsidP="00D41765">
      <w:pPr>
        <w:pStyle w:val="Paragraphedeliste"/>
        <w:numPr>
          <w:ilvl w:val="0"/>
          <w:numId w:val="15"/>
        </w:numPr>
      </w:pPr>
      <w:r>
        <w:t>Économie</w:t>
      </w:r>
      <w:r w:rsidR="004C2558">
        <w:t xml:space="preserve"> circulaire et bioéconomie</w:t>
      </w:r>
    </w:p>
    <w:p w14:paraId="79508140" w14:textId="7A603369" w:rsidR="004C2558" w:rsidRDefault="004C2558" w:rsidP="00D41765">
      <w:pPr>
        <w:pStyle w:val="Paragraphedeliste"/>
        <w:numPr>
          <w:ilvl w:val="0"/>
          <w:numId w:val="15"/>
        </w:numPr>
      </w:pPr>
      <w:r>
        <w:t>Environnement, et objectif « 0 pollution »</w:t>
      </w:r>
    </w:p>
    <w:p w14:paraId="57A14F2F" w14:textId="72BCAAAD" w:rsidR="004C2558" w:rsidRDefault="004C2558" w:rsidP="00D41765">
      <w:pPr>
        <w:pStyle w:val="Paragraphedeliste"/>
        <w:numPr>
          <w:ilvl w:val="0"/>
          <w:numId w:val="15"/>
        </w:numPr>
      </w:pPr>
      <w:r>
        <w:t xml:space="preserve">Sols, océans et eaux pour </w:t>
      </w:r>
      <w:r w:rsidR="00D34CB7">
        <w:t xml:space="preserve">dans notre </w:t>
      </w:r>
      <w:r>
        <w:t>système climatique</w:t>
      </w:r>
    </w:p>
    <w:p w14:paraId="7E83D2DC" w14:textId="086A63DA" w:rsidR="004C2558" w:rsidRDefault="00675651" w:rsidP="00D41765">
      <w:pPr>
        <w:pStyle w:val="Paragraphedeliste"/>
        <w:numPr>
          <w:ilvl w:val="0"/>
          <w:numId w:val="15"/>
        </w:numPr>
      </w:pPr>
      <w:r w:rsidRPr="00675651">
        <w:t>Des zones urbaines, côtières et rurales résilientes, inclusives et en bonne santé</w:t>
      </w:r>
    </w:p>
    <w:p w14:paraId="74855405" w14:textId="6C36ACF7" w:rsidR="00675651" w:rsidRDefault="00675651" w:rsidP="00D41765">
      <w:pPr>
        <w:pStyle w:val="Paragraphedeliste"/>
        <w:numPr>
          <w:ilvl w:val="0"/>
          <w:numId w:val="15"/>
        </w:numPr>
      </w:pPr>
      <w:r w:rsidRPr="00675651">
        <w:t>Gouvernance innovante, observations environnementales et solutions numériques pour soutenir la mise en œuvre du Green Deal</w:t>
      </w:r>
    </w:p>
    <w:p w14:paraId="5477B96F" w14:textId="77777777" w:rsidR="00DC2689" w:rsidRDefault="00DC2689" w:rsidP="00C86164">
      <w:pPr>
        <w:rPr>
          <w:b/>
          <w:bCs/>
        </w:rPr>
      </w:pPr>
    </w:p>
    <w:p w14:paraId="4117C388" w14:textId="54560C3A" w:rsidR="00A714EE" w:rsidRPr="00C554F4" w:rsidRDefault="0045450E" w:rsidP="007527A1">
      <w:pPr>
        <w:rPr>
          <w:b/>
          <w:bCs/>
          <w:u w:val="single"/>
        </w:rPr>
      </w:pPr>
      <w:r w:rsidRPr="00C554F4">
        <w:rPr>
          <w:b/>
          <w:bCs/>
          <w:u w:val="single"/>
        </w:rPr>
        <w:t xml:space="preserve">Destination 1 </w:t>
      </w:r>
      <w:r w:rsidR="007527A1" w:rsidRPr="00C554F4">
        <w:rPr>
          <w:b/>
          <w:bCs/>
          <w:u w:val="single"/>
        </w:rPr>
        <w:t>– Biodiversité et services écosystémiques</w:t>
      </w:r>
    </w:p>
    <w:p w14:paraId="11909ED5" w14:textId="03C45523" w:rsidR="002169C5" w:rsidRDefault="002169C5" w:rsidP="002169C5"/>
    <w:tbl>
      <w:tblPr>
        <w:tblStyle w:val="Grilledutableau"/>
        <w:tblW w:w="0" w:type="auto"/>
        <w:tblLook w:val="04A0" w:firstRow="1" w:lastRow="0" w:firstColumn="1" w:lastColumn="0" w:noHBand="0" w:noVBand="1"/>
      </w:tblPr>
      <w:tblGrid>
        <w:gridCol w:w="4885"/>
        <w:gridCol w:w="4886"/>
      </w:tblGrid>
      <w:tr w:rsidR="00C554F4" w14:paraId="7AC0649A" w14:textId="77777777" w:rsidTr="004747D5">
        <w:tc>
          <w:tcPr>
            <w:tcW w:w="4885" w:type="dxa"/>
            <w:shd w:val="clear" w:color="auto" w:fill="5F497A" w:themeFill="accent4" w:themeFillShade="BF"/>
          </w:tcPr>
          <w:p w14:paraId="49AC67B9" w14:textId="77777777" w:rsidR="00C554F4" w:rsidRPr="00725D8F" w:rsidRDefault="00C554F4" w:rsidP="004747D5">
            <w:pPr>
              <w:jc w:val="both"/>
              <w:rPr>
                <w:b/>
                <w:bCs/>
                <w:color w:val="FFFFFF" w:themeColor="background1"/>
              </w:rPr>
            </w:pPr>
            <w:r w:rsidRPr="00725D8F">
              <w:rPr>
                <w:b/>
                <w:bCs/>
                <w:color w:val="FFFFFF" w:themeColor="background1"/>
              </w:rPr>
              <w:t>Nombre d’appels à projets prévus sur 2021-2022</w:t>
            </w:r>
          </w:p>
        </w:tc>
        <w:tc>
          <w:tcPr>
            <w:tcW w:w="4886" w:type="dxa"/>
            <w:shd w:val="clear" w:color="auto" w:fill="CCC0D9" w:themeFill="accent4" w:themeFillTint="66"/>
          </w:tcPr>
          <w:p w14:paraId="76141040" w14:textId="4934EF61" w:rsidR="00C554F4" w:rsidRDefault="00C554F4" w:rsidP="004747D5">
            <w:pPr>
              <w:jc w:val="center"/>
            </w:pPr>
            <w:r>
              <w:t>36</w:t>
            </w:r>
          </w:p>
        </w:tc>
      </w:tr>
      <w:tr w:rsidR="00C554F4" w14:paraId="325342EC" w14:textId="77777777" w:rsidTr="004747D5">
        <w:tc>
          <w:tcPr>
            <w:tcW w:w="4885" w:type="dxa"/>
            <w:shd w:val="clear" w:color="auto" w:fill="5F497A" w:themeFill="accent4" w:themeFillShade="BF"/>
          </w:tcPr>
          <w:p w14:paraId="41E063CD" w14:textId="77777777" w:rsidR="00C554F4" w:rsidRPr="00725D8F" w:rsidRDefault="00C554F4" w:rsidP="004747D5">
            <w:pPr>
              <w:jc w:val="both"/>
              <w:rPr>
                <w:b/>
                <w:bCs/>
                <w:color w:val="FFFFFF" w:themeColor="background1"/>
              </w:rPr>
            </w:pPr>
            <w:r w:rsidRPr="00725D8F">
              <w:rPr>
                <w:b/>
                <w:bCs/>
                <w:color w:val="FFFFFF" w:themeColor="background1"/>
              </w:rPr>
              <w:t>Enveloppe budgétaire dédiée sur 2021-2022</w:t>
            </w:r>
          </w:p>
        </w:tc>
        <w:tc>
          <w:tcPr>
            <w:tcW w:w="4886" w:type="dxa"/>
            <w:shd w:val="clear" w:color="auto" w:fill="CCC0D9" w:themeFill="accent4" w:themeFillTint="66"/>
          </w:tcPr>
          <w:p w14:paraId="5861930D" w14:textId="24D102EE" w:rsidR="00C554F4" w:rsidRDefault="00C554F4" w:rsidP="004747D5">
            <w:pPr>
              <w:jc w:val="center"/>
            </w:pPr>
            <w:r>
              <w:t>375.5 millions €</w:t>
            </w:r>
          </w:p>
        </w:tc>
      </w:tr>
    </w:tbl>
    <w:p w14:paraId="1E02E088" w14:textId="77777777" w:rsidR="00C554F4" w:rsidRDefault="00C554F4" w:rsidP="002169C5"/>
    <w:p w14:paraId="25480197" w14:textId="212581FF" w:rsidR="00405775" w:rsidRDefault="00231DC4" w:rsidP="00777858">
      <w:pPr>
        <w:jc w:val="both"/>
      </w:pPr>
      <w:r>
        <w:t xml:space="preserve">Le but de cette destination est non seulement de préserver la biodiversité mais surtout de la mettre « sur le chemin du rétablissement », de préserver les écosystèmes et leurs services (terre, mer, rivières, zones humides, etc.) via un </w:t>
      </w:r>
      <w:r w:rsidRPr="00231DC4">
        <w:rPr>
          <w:b/>
          <w:bCs/>
        </w:rPr>
        <w:t>développement des connaissances et de l’innovation</w:t>
      </w:r>
      <w:r>
        <w:t>.</w:t>
      </w:r>
    </w:p>
    <w:p w14:paraId="7A1A57B0" w14:textId="7B1E5E46" w:rsidR="00231DC4" w:rsidRDefault="00231DC4" w:rsidP="00777858">
      <w:pPr>
        <w:jc w:val="both"/>
      </w:pPr>
      <w:r>
        <w:t>L’innovation est importante pour adresser les différentes causes de la perte de biodiversité, et cela devra être fait de manière holistique en rassemblant les acteurs liés aux différents systèmes de production.</w:t>
      </w:r>
    </w:p>
    <w:p w14:paraId="3BAF0BA0" w14:textId="77777777" w:rsidR="00231DC4" w:rsidRDefault="00231DC4" w:rsidP="002169C5"/>
    <w:p w14:paraId="50B80FBD" w14:textId="2F052139" w:rsidR="006B7057" w:rsidRDefault="00500E3D" w:rsidP="002169C5">
      <w:r>
        <w:t>Cinq grands objectifs :</w:t>
      </w:r>
    </w:p>
    <w:p w14:paraId="783AA379" w14:textId="5E2F628D" w:rsidR="00500E3D" w:rsidRDefault="00500E3D" w:rsidP="00500E3D">
      <w:pPr>
        <w:pStyle w:val="Paragraphedeliste"/>
        <w:numPr>
          <w:ilvl w:val="0"/>
          <w:numId w:val="15"/>
        </w:numPr>
      </w:pPr>
      <w:r>
        <w:t>Mieux comprendre le déclin de la biodiversité</w:t>
      </w:r>
    </w:p>
    <w:p w14:paraId="7DB35DA5" w14:textId="78950362" w:rsidR="00500E3D" w:rsidRDefault="003A5ED3" w:rsidP="00500E3D">
      <w:pPr>
        <w:pStyle w:val="Paragraphedeliste"/>
        <w:numPr>
          <w:ilvl w:val="0"/>
          <w:numId w:val="15"/>
        </w:numPr>
      </w:pPr>
      <w:r>
        <w:t>Évaluer</w:t>
      </w:r>
      <w:r w:rsidR="00500E3D">
        <w:t xml:space="preserve"> et restaurer la biodiversité et les services écosystémiques</w:t>
      </w:r>
    </w:p>
    <w:p w14:paraId="62F91601" w14:textId="614831A5" w:rsidR="00500E3D" w:rsidRDefault="00500E3D" w:rsidP="00500E3D">
      <w:pPr>
        <w:pStyle w:val="Paragraphedeliste"/>
        <w:numPr>
          <w:ilvl w:val="0"/>
          <w:numId w:val="15"/>
        </w:numPr>
      </w:pPr>
      <w:r>
        <w:t>La gestion de la biodiversité dans les systèmes de production primaires</w:t>
      </w:r>
    </w:p>
    <w:p w14:paraId="29A56248" w14:textId="000ACA3E" w:rsidR="00500E3D" w:rsidRDefault="00052294" w:rsidP="00500E3D">
      <w:pPr>
        <w:pStyle w:val="Paragraphedeliste"/>
        <w:numPr>
          <w:ilvl w:val="0"/>
          <w:numId w:val="15"/>
        </w:numPr>
      </w:pPr>
      <w:r>
        <w:t>Changements transformatifs pour la biodiversité</w:t>
      </w:r>
    </w:p>
    <w:p w14:paraId="0516CF27" w14:textId="07AFD186" w:rsidR="007527A1" w:rsidRDefault="00052294" w:rsidP="002169C5">
      <w:pPr>
        <w:pStyle w:val="Paragraphedeliste"/>
        <w:numPr>
          <w:ilvl w:val="0"/>
          <w:numId w:val="15"/>
        </w:numPr>
      </w:pPr>
      <w:r>
        <w:t>Reconnecter la recherche sur l</w:t>
      </w:r>
      <w:r w:rsidR="003A5ED3">
        <w:t>a</w:t>
      </w:r>
      <w:r>
        <w:t xml:space="preserve"> biodiversité et les politiques de soutien (partenariat dédié</w:t>
      </w:r>
      <w:r w:rsidR="003A5ED3">
        <w:t>)</w:t>
      </w:r>
    </w:p>
    <w:p w14:paraId="77F1F51A" w14:textId="041FFAD8" w:rsidR="007527A1" w:rsidRDefault="007527A1" w:rsidP="002169C5"/>
    <w:p w14:paraId="02891C17" w14:textId="77777777" w:rsidR="00405775" w:rsidRDefault="00405775" w:rsidP="002169C5"/>
    <w:p w14:paraId="304FD756" w14:textId="002E928C" w:rsidR="008E782D" w:rsidRPr="003F659C" w:rsidRDefault="002169C5" w:rsidP="006B7057">
      <w:pPr>
        <w:rPr>
          <w:b/>
          <w:bCs/>
          <w:u w:val="single"/>
        </w:rPr>
      </w:pPr>
      <w:r w:rsidRPr="003F659C">
        <w:rPr>
          <w:b/>
          <w:bCs/>
          <w:u w:val="single"/>
        </w:rPr>
        <w:t xml:space="preserve">Destination </w:t>
      </w:r>
      <w:r w:rsidR="007527A1" w:rsidRPr="003F659C">
        <w:rPr>
          <w:b/>
          <w:bCs/>
          <w:u w:val="single"/>
        </w:rPr>
        <w:t>2</w:t>
      </w:r>
      <w:r w:rsidRPr="003F659C">
        <w:rPr>
          <w:b/>
          <w:bCs/>
          <w:u w:val="single"/>
        </w:rPr>
        <w:t xml:space="preserve"> – </w:t>
      </w:r>
      <w:r w:rsidR="007527A1" w:rsidRPr="003F659C">
        <w:rPr>
          <w:b/>
          <w:bCs/>
          <w:u w:val="single"/>
        </w:rPr>
        <w:t>Systèmes alimentaires justes, sains et respectueux de l’environnement, de la production à la consommation (« </w:t>
      </w:r>
      <w:r w:rsidR="007527A1" w:rsidRPr="00777858">
        <w:rPr>
          <w:b/>
          <w:bCs/>
          <w:i/>
          <w:iCs/>
          <w:u w:val="single"/>
        </w:rPr>
        <w:t>From Farm to Fork</w:t>
      </w:r>
      <w:r w:rsidR="007527A1" w:rsidRPr="003F659C">
        <w:rPr>
          <w:b/>
          <w:bCs/>
          <w:u w:val="single"/>
        </w:rPr>
        <w:t> »)</w:t>
      </w:r>
    </w:p>
    <w:p w14:paraId="031A4023" w14:textId="09F44D08" w:rsidR="006B7057" w:rsidRDefault="006B7057" w:rsidP="006B7057">
      <w:pPr>
        <w:rPr>
          <w:b/>
          <w:bCs/>
        </w:rPr>
      </w:pPr>
    </w:p>
    <w:tbl>
      <w:tblPr>
        <w:tblStyle w:val="Grilledutableau"/>
        <w:tblW w:w="0" w:type="auto"/>
        <w:tblLook w:val="04A0" w:firstRow="1" w:lastRow="0" w:firstColumn="1" w:lastColumn="0" w:noHBand="0" w:noVBand="1"/>
      </w:tblPr>
      <w:tblGrid>
        <w:gridCol w:w="4885"/>
        <w:gridCol w:w="4886"/>
      </w:tblGrid>
      <w:tr w:rsidR="000211E3" w14:paraId="6F394280" w14:textId="77777777" w:rsidTr="004747D5">
        <w:tc>
          <w:tcPr>
            <w:tcW w:w="4885" w:type="dxa"/>
            <w:shd w:val="clear" w:color="auto" w:fill="5F497A" w:themeFill="accent4" w:themeFillShade="BF"/>
          </w:tcPr>
          <w:p w14:paraId="5272AAD9" w14:textId="77777777" w:rsidR="000211E3" w:rsidRPr="00725D8F" w:rsidRDefault="000211E3" w:rsidP="004747D5">
            <w:pPr>
              <w:jc w:val="both"/>
              <w:rPr>
                <w:b/>
                <w:bCs/>
                <w:color w:val="FFFFFF" w:themeColor="background1"/>
              </w:rPr>
            </w:pPr>
            <w:r w:rsidRPr="00725D8F">
              <w:rPr>
                <w:b/>
                <w:bCs/>
                <w:color w:val="FFFFFF" w:themeColor="background1"/>
              </w:rPr>
              <w:t>Nombre d’appels à projets prévus sur 2021-2022</w:t>
            </w:r>
          </w:p>
        </w:tc>
        <w:tc>
          <w:tcPr>
            <w:tcW w:w="4886" w:type="dxa"/>
            <w:shd w:val="clear" w:color="auto" w:fill="CCC0D9" w:themeFill="accent4" w:themeFillTint="66"/>
          </w:tcPr>
          <w:p w14:paraId="14111AAE" w14:textId="73400208" w:rsidR="000211E3" w:rsidRDefault="000211E3" w:rsidP="004747D5">
            <w:pPr>
              <w:jc w:val="center"/>
            </w:pPr>
            <w:r>
              <w:t>39</w:t>
            </w:r>
          </w:p>
        </w:tc>
      </w:tr>
      <w:tr w:rsidR="000211E3" w14:paraId="5FB4C179" w14:textId="77777777" w:rsidTr="004747D5">
        <w:tc>
          <w:tcPr>
            <w:tcW w:w="4885" w:type="dxa"/>
            <w:shd w:val="clear" w:color="auto" w:fill="5F497A" w:themeFill="accent4" w:themeFillShade="BF"/>
          </w:tcPr>
          <w:p w14:paraId="02B918AC" w14:textId="77777777" w:rsidR="000211E3" w:rsidRPr="00725D8F" w:rsidRDefault="000211E3" w:rsidP="004747D5">
            <w:pPr>
              <w:jc w:val="both"/>
              <w:rPr>
                <w:b/>
                <w:bCs/>
                <w:color w:val="FFFFFF" w:themeColor="background1"/>
              </w:rPr>
            </w:pPr>
            <w:r w:rsidRPr="00725D8F">
              <w:rPr>
                <w:b/>
                <w:bCs/>
                <w:color w:val="FFFFFF" w:themeColor="background1"/>
              </w:rPr>
              <w:t>Enveloppe budgétaire dédiée sur 2021-2022</w:t>
            </w:r>
          </w:p>
        </w:tc>
        <w:tc>
          <w:tcPr>
            <w:tcW w:w="4886" w:type="dxa"/>
            <w:shd w:val="clear" w:color="auto" w:fill="CCC0D9" w:themeFill="accent4" w:themeFillTint="66"/>
          </w:tcPr>
          <w:p w14:paraId="11F42ED1" w14:textId="2A3075D9" w:rsidR="000211E3" w:rsidRDefault="000211E3" w:rsidP="004747D5">
            <w:pPr>
              <w:jc w:val="center"/>
            </w:pPr>
            <w:r>
              <w:t>416.5 millions €</w:t>
            </w:r>
          </w:p>
        </w:tc>
      </w:tr>
    </w:tbl>
    <w:p w14:paraId="345EEF31" w14:textId="77777777" w:rsidR="000211E3" w:rsidRDefault="000211E3" w:rsidP="002C7637">
      <w:pPr>
        <w:jc w:val="both"/>
      </w:pPr>
    </w:p>
    <w:p w14:paraId="6A13FBA5" w14:textId="5946897A" w:rsidR="002C7637" w:rsidRDefault="002C7637" w:rsidP="002C7637">
      <w:pPr>
        <w:jc w:val="both"/>
      </w:pPr>
      <w:r>
        <w:t xml:space="preserve">L’objectif principal ici est </w:t>
      </w:r>
      <w:r w:rsidR="000C048B">
        <w:t xml:space="preserve">que </w:t>
      </w:r>
      <w:r w:rsidR="006863C1">
        <w:t>l</w:t>
      </w:r>
      <w:r w:rsidR="006863C1" w:rsidRPr="006863C1">
        <w:t xml:space="preserve">a sécurité alimentaire et nutritionnelle </w:t>
      </w:r>
      <w:r w:rsidR="006863C1">
        <w:t>soit assurée pour</w:t>
      </w:r>
      <w:r w:rsidR="006863C1" w:rsidRPr="006863C1">
        <w:t xml:space="preserve"> tous</w:t>
      </w:r>
      <w:r w:rsidR="006863C1">
        <w:t xml:space="preserve">, et </w:t>
      </w:r>
      <w:r w:rsidR="006863C1" w:rsidRPr="006863C1">
        <w:t xml:space="preserve">assurée par la connaissance, l'innovation et la numérisation dans l'agriculture, la pêche, l'aquaculture et </w:t>
      </w:r>
      <w:r w:rsidR="006863C1">
        <w:t>d</w:t>
      </w:r>
      <w:r w:rsidR="006863C1" w:rsidRPr="006863C1">
        <w:t>es systèmes alimentaires</w:t>
      </w:r>
      <w:r w:rsidR="006863C1">
        <w:t xml:space="preserve"> </w:t>
      </w:r>
      <w:r w:rsidR="006863C1" w:rsidRPr="006863C1">
        <w:t>durables, résilients, inclusifs, sûrs et sains</w:t>
      </w:r>
      <w:r w:rsidR="006863C1">
        <w:t>,</w:t>
      </w:r>
      <w:r w:rsidR="006863C1" w:rsidRPr="006863C1">
        <w:t xml:space="preserve"> </w:t>
      </w:r>
      <w:r w:rsidR="006863C1">
        <w:t>« </w:t>
      </w:r>
      <w:r w:rsidR="006863C1" w:rsidRPr="006863C1">
        <w:t>de la ferme à l'assiette</w:t>
      </w:r>
      <w:r w:rsidR="006863C1">
        <w:t> ».</w:t>
      </w:r>
    </w:p>
    <w:p w14:paraId="1BA9DA4F" w14:textId="77777777" w:rsidR="002C7637" w:rsidRDefault="002C7637" w:rsidP="002C7637">
      <w:pPr>
        <w:jc w:val="both"/>
      </w:pPr>
    </w:p>
    <w:p w14:paraId="5E28DBB8" w14:textId="77777777" w:rsidR="002C7637" w:rsidRDefault="002C7637" w:rsidP="002C7637">
      <w:pPr>
        <w:jc w:val="both"/>
      </w:pPr>
      <w:r>
        <w:t>Quatre grands objectifs ici :</w:t>
      </w:r>
    </w:p>
    <w:p w14:paraId="60820592" w14:textId="77777777" w:rsidR="002C7637" w:rsidRDefault="002C7637" w:rsidP="002C7637">
      <w:pPr>
        <w:pStyle w:val="Paragraphedeliste"/>
        <w:numPr>
          <w:ilvl w:val="0"/>
          <w:numId w:val="15"/>
        </w:numPr>
        <w:jc w:val="both"/>
      </w:pPr>
      <w:r>
        <w:t>Agriculture durable</w:t>
      </w:r>
    </w:p>
    <w:p w14:paraId="771CA92C" w14:textId="77777777" w:rsidR="002C7637" w:rsidRDefault="002C7637" w:rsidP="002C7637">
      <w:pPr>
        <w:pStyle w:val="Paragraphedeliste"/>
        <w:numPr>
          <w:ilvl w:val="0"/>
          <w:numId w:val="15"/>
        </w:numPr>
        <w:jc w:val="both"/>
      </w:pPr>
      <w:r>
        <w:t>Pêche et aquaculture durable</w:t>
      </w:r>
    </w:p>
    <w:p w14:paraId="2192F5D9" w14:textId="7F05AC29" w:rsidR="002C7637" w:rsidRDefault="002C7637" w:rsidP="002C7637">
      <w:pPr>
        <w:pStyle w:val="Paragraphedeliste"/>
        <w:numPr>
          <w:ilvl w:val="0"/>
          <w:numId w:val="15"/>
        </w:numPr>
        <w:jc w:val="both"/>
      </w:pPr>
      <w:r>
        <w:t>Transformation des systèmes alimentaires pour la santé, la durabilité et l’inclusion</w:t>
      </w:r>
    </w:p>
    <w:p w14:paraId="1DEE38DC" w14:textId="77777777" w:rsidR="002C7637" w:rsidRDefault="002C7637" w:rsidP="002C7637">
      <w:pPr>
        <w:pStyle w:val="Paragraphedeliste"/>
        <w:numPr>
          <w:ilvl w:val="0"/>
          <w:numId w:val="15"/>
        </w:numPr>
        <w:jc w:val="both"/>
      </w:pPr>
      <w:r>
        <w:t>La coopération internationale</w:t>
      </w:r>
    </w:p>
    <w:p w14:paraId="636F56FD" w14:textId="77777777" w:rsidR="00405775" w:rsidRDefault="00405775" w:rsidP="00D41765"/>
    <w:p w14:paraId="739E5AA3" w14:textId="17AAA0BA" w:rsidR="000F6A4A" w:rsidRPr="003F659C" w:rsidRDefault="000F6A4A" w:rsidP="004334E5">
      <w:pPr>
        <w:rPr>
          <w:u w:val="single"/>
        </w:rPr>
      </w:pPr>
      <w:r w:rsidRPr="003F659C">
        <w:rPr>
          <w:b/>
          <w:bCs/>
          <w:u w:val="single"/>
        </w:rPr>
        <w:t xml:space="preserve">Destination </w:t>
      </w:r>
      <w:r w:rsidR="007527A1" w:rsidRPr="003F659C">
        <w:rPr>
          <w:b/>
          <w:bCs/>
          <w:u w:val="single"/>
        </w:rPr>
        <w:t>3</w:t>
      </w:r>
      <w:r w:rsidRPr="003F659C">
        <w:rPr>
          <w:b/>
          <w:bCs/>
          <w:u w:val="single"/>
        </w:rPr>
        <w:t xml:space="preserve"> – </w:t>
      </w:r>
      <w:r w:rsidR="003A5ED3" w:rsidRPr="003F659C">
        <w:rPr>
          <w:b/>
          <w:bCs/>
          <w:u w:val="single"/>
        </w:rPr>
        <w:t>Économie</w:t>
      </w:r>
      <w:r w:rsidR="007527A1" w:rsidRPr="003F659C">
        <w:rPr>
          <w:b/>
          <w:bCs/>
          <w:u w:val="single"/>
        </w:rPr>
        <w:t xml:space="preserve"> circulaire et bioéconomie</w:t>
      </w:r>
    </w:p>
    <w:p w14:paraId="1C28D6C6" w14:textId="5EE1F708" w:rsidR="002719CA" w:rsidRDefault="002719CA" w:rsidP="00D41765"/>
    <w:tbl>
      <w:tblPr>
        <w:tblStyle w:val="Grilledutableau"/>
        <w:tblW w:w="0" w:type="auto"/>
        <w:tblLook w:val="04A0" w:firstRow="1" w:lastRow="0" w:firstColumn="1" w:lastColumn="0" w:noHBand="0" w:noVBand="1"/>
      </w:tblPr>
      <w:tblGrid>
        <w:gridCol w:w="4885"/>
        <w:gridCol w:w="4886"/>
      </w:tblGrid>
      <w:tr w:rsidR="003F659C" w14:paraId="45B2B644" w14:textId="77777777" w:rsidTr="004747D5">
        <w:tc>
          <w:tcPr>
            <w:tcW w:w="4885" w:type="dxa"/>
            <w:shd w:val="clear" w:color="auto" w:fill="5F497A" w:themeFill="accent4" w:themeFillShade="BF"/>
          </w:tcPr>
          <w:p w14:paraId="217B3B8D" w14:textId="77777777" w:rsidR="003F659C" w:rsidRPr="00725D8F" w:rsidRDefault="003F659C" w:rsidP="004747D5">
            <w:pPr>
              <w:jc w:val="both"/>
              <w:rPr>
                <w:b/>
                <w:bCs/>
                <w:color w:val="FFFFFF" w:themeColor="background1"/>
              </w:rPr>
            </w:pPr>
            <w:r w:rsidRPr="00725D8F">
              <w:rPr>
                <w:b/>
                <w:bCs/>
                <w:color w:val="FFFFFF" w:themeColor="background1"/>
              </w:rPr>
              <w:t>Nombre d’appels à projets prévus sur 2021-2022</w:t>
            </w:r>
          </w:p>
        </w:tc>
        <w:tc>
          <w:tcPr>
            <w:tcW w:w="4886" w:type="dxa"/>
            <w:shd w:val="clear" w:color="auto" w:fill="CCC0D9" w:themeFill="accent4" w:themeFillTint="66"/>
          </w:tcPr>
          <w:p w14:paraId="0FA846D9" w14:textId="60CD6749" w:rsidR="003F659C" w:rsidRDefault="003F659C" w:rsidP="004747D5">
            <w:pPr>
              <w:jc w:val="center"/>
            </w:pPr>
            <w:r>
              <w:t>22</w:t>
            </w:r>
          </w:p>
        </w:tc>
      </w:tr>
      <w:tr w:rsidR="003F659C" w14:paraId="4A33EE7B" w14:textId="77777777" w:rsidTr="004747D5">
        <w:tc>
          <w:tcPr>
            <w:tcW w:w="4885" w:type="dxa"/>
            <w:shd w:val="clear" w:color="auto" w:fill="5F497A" w:themeFill="accent4" w:themeFillShade="BF"/>
          </w:tcPr>
          <w:p w14:paraId="74073AD2" w14:textId="77777777" w:rsidR="003F659C" w:rsidRPr="00725D8F" w:rsidRDefault="003F659C" w:rsidP="004747D5">
            <w:pPr>
              <w:jc w:val="both"/>
              <w:rPr>
                <w:b/>
                <w:bCs/>
                <w:color w:val="FFFFFF" w:themeColor="background1"/>
              </w:rPr>
            </w:pPr>
            <w:r w:rsidRPr="00725D8F">
              <w:rPr>
                <w:b/>
                <w:bCs/>
                <w:color w:val="FFFFFF" w:themeColor="background1"/>
              </w:rPr>
              <w:t>Enveloppe budgétaire dédiée sur 2021-2022</w:t>
            </w:r>
          </w:p>
        </w:tc>
        <w:tc>
          <w:tcPr>
            <w:tcW w:w="4886" w:type="dxa"/>
            <w:shd w:val="clear" w:color="auto" w:fill="CCC0D9" w:themeFill="accent4" w:themeFillTint="66"/>
          </w:tcPr>
          <w:p w14:paraId="54688E9D" w14:textId="159EEBBD" w:rsidR="003F659C" w:rsidRDefault="003F659C" w:rsidP="004747D5">
            <w:pPr>
              <w:jc w:val="center"/>
            </w:pPr>
            <w:r>
              <w:t>268.5 millions €</w:t>
            </w:r>
          </w:p>
        </w:tc>
      </w:tr>
    </w:tbl>
    <w:p w14:paraId="3C107840" w14:textId="77777777" w:rsidR="003F659C" w:rsidRDefault="003F659C" w:rsidP="00D41765"/>
    <w:p w14:paraId="7F1096A9" w14:textId="448FE6C2" w:rsidR="00182DC6" w:rsidRDefault="00182DC6" w:rsidP="00390893">
      <w:pPr>
        <w:jc w:val="both"/>
      </w:pPr>
      <w:r>
        <w:t>L’objectif principal est la prévention de la pollution et la mise en place de l’économie circulaire.</w:t>
      </w:r>
      <w:r w:rsidR="00390893">
        <w:t xml:space="preserve"> </w:t>
      </w:r>
      <w:r w:rsidR="00390893" w:rsidRPr="00390893">
        <w:t xml:space="preserve">La gestion et l'utilisation durables et circulaires des ressources naturelles ainsi que la prévention et l'élimination de la pollution </w:t>
      </w:r>
      <w:r w:rsidR="00390893">
        <w:t>doivent être</w:t>
      </w:r>
      <w:r w:rsidR="00390893" w:rsidRPr="00390893">
        <w:t xml:space="preserve"> intégrées, libérant le potentiel de la bioéconomie</w:t>
      </w:r>
      <w:r w:rsidR="00390893">
        <w:t>. Cela permettra d’</w:t>
      </w:r>
      <w:r w:rsidR="00390893" w:rsidRPr="00390893">
        <w:t>assur</w:t>
      </w:r>
      <w:r w:rsidR="00390893">
        <w:t>er</w:t>
      </w:r>
      <w:r w:rsidR="00390893" w:rsidRPr="00390893">
        <w:t xml:space="preserve"> la compétitivité </w:t>
      </w:r>
      <w:r w:rsidR="00390893">
        <w:t xml:space="preserve">tout en </w:t>
      </w:r>
      <w:r w:rsidR="00390893" w:rsidRPr="00390893">
        <w:t xml:space="preserve">garantissant un sol, un air, une eau douce et marine </w:t>
      </w:r>
      <w:r w:rsidR="00390893">
        <w:t xml:space="preserve">qui soit </w:t>
      </w:r>
      <w:r w:rsidR="00390893" w:rsidRPr="00390893">
        <w:t xml:space="preserve">sains pour tous, grâce à une meilleure compréhension des limites planétaires et </w:t>
      </w:r>
      <w:r w:rsidR="00390893">
        <w:t xml:space="preserve">au </w:t>
      </w:r>
      <w:r w:rsidR="00390893" w:rsidRPr="00390893">
        <w:t xml:space="preserve">déploiement de technologies innovantes </w:t>
      </w:r>
      <w:r w:rsidR="00390893">
        <w:t xml:space="preserve">et de solutions nouvelles, </w:t>
      </w:r>
      <w:r w:rsidR="00390893" w:rsidRPr="00390893">
        <w:t>notamment dans la production primaire, la foresterie et les systèmes biosourcés</w:t>
      </w:r>
      <w:r w:rsidR="00390893">
        <w:t>.</w:t>
      </w:r>
    </w:p>
    <w:p w14:paraId="23BAE607" w14:textId="54175297" w:rsidR="00182DC6" w:rsidRDefault="00182DC6" w:rsidP="00D41765"/>
    <w:p w14:paraId="1DC83F9A" w14:textId="5A082BDB" w:rsidR="00182DC6" w:rsidRDefault="003A5ED3" w:rsidP="00D41765">
      <w:r>
        <w:t>Quatre</w:t>
      </w:r>
      <w:r w:rsidR="00182DC6">
        <w:t xml:space="preserve"> </w:t>
      </w:r>
      <w:r>
        <w:t>gr</w:t>
      </w:r>
      <w:r w:rsidR="00182DC6">
        <w:t>and thèmes</w:t>
      </w:r>
      <w:r w:rsidR="00F07F6B">
        <w:t xml:space="preserve"> se trouvent dans cette destination</w:t>
      </w:r>
      <w:r w:rsidR="00182DC6">
        <w:t> :</w:t>
      </w:r>
    </w:p>
    <w:p w14:paraId="532A2A1D" w14:textId="7728714E" w:rsidR="00182DC6" w:rsidRDefault="00182DC6" w:rsidP="00182DC6">
      <w:pPr>
        <w:pStyle w:val="Paragraphedeliste"/>
        <w:numPr>
          <w:ilvl w:val="0"/>
          <w:numId w:val="15"/>
        </w:numPr>
      </w:pPr>
      <w:r>
        <w:t>La mise en place de l’économie circulaire</w:t>
      </w:r>
    </w:p>
    <w:p w14:paraId="658FB2D2" w14:textId="0A5FDE7F" w:rsidR="00182DC6" w:rsidRDefault="00182DC6" w:rsidP="00182DC6">
      <w:pPr>
        <w:pStyle w:val="Paragraphedeliste"/>
        <w:numPr>
          <w:ilvl w:val="0"/>
          <w:numId w:val="15"/>
        </w:numPr>
      </w:pPr>
      <w:r>
        <w:t>La bioéconomie et les systèmes basés sur le vivant</w:t>
      </w:r>
    </w:p>
    <w:p w14:paraId="1AE7558D" w14:textId="4ACD947E" w:rsidR="00182DC6" w:rsidRDefault="00182DC6" w:rsidP="00182DC6">
      <w:pPr>
        <w:pStyle w:val="Paragraphedeliste"/>
        <w:numPr>
          <w:ilvl w:val="0"/>
          <w:numId w:val="15"/>
        </w:numPr>
      </w:pPr>
      <w:r>
        <w:t>La gestion des forêts</w:t>
      </w:r>
    </w:p>
    <w:p w14:paraId="4BC68BAD" w14:textId="6EE526D0" w:rsidR="00182DC6" w:rsidRDefault="00182DC6" w:rsidP="00182DC6">
      <w:pPr>
        <w:pStyle w:val="Paragraphedeliste"/>
        <w:numPr>
          <w:ilvl w:val="0"/>
          <w:numId w:val="15"/>
        </w:numPr>
      </w:pPr>
      <w:r>
        <w:t>L’ « économie bleue »</w:t>
      </w:r>
    </w:p>
    <w:p w14:paraId="46B95075" w14:textId="77777777" w:rsidR="00405775" w:rsidRDefault="00405775" w:rsidP="00D41765"/>
    <w:p w14:paraId="155E0661" w14:textId="3F09E9EE" w:rsidR="00E94CE8" w:rsidRPr="0000158C" w:rsidRDefault="002719CA" w:rsidP="00E94CE8">
      <w:pPr>
        <w:rPr>
          <w:u w:val="single"/>
        </w:rPr>
      </w:pPr>
      <w:r w:rsidRPr="0000158C">
        <w:rPr>
          <w:b/>
          <w:bCs/>
          <w:u w:val="single"/>
        </w:rPr>
        <w:t xml:space="preserve">Destination </w:t>
      </w:r>
      <w:r w:rsidR="007527A1" w:rsidRPr="0000158C">
        <w:rPr>
          <w:b/>
          <w:bCs/>
          <w:u w:val="single"/>
        </w:rPr>
        <w:t>4</w:t>
      </w:r>
      <w:r w:rsidRPr="0000158C">
        <w:rPr>
          <w:b/>
          <w:bCs/>
          <w:u w:val="single"/>
        </w:rPr>
        <w:t xml:space="preserve"> – </w:t>
      </w:r>
      <w:r w:rsidR="007527A1" w:rsidRPr="0000158C">
        <w:rPr>
          <w:b/>
          <w:bCs/>
          <w:u w:val="single"/>
        </w:rPr>
        <w:t xml:space="preserve">Environnement et </w:t>
      </w:r>
      <w:r w:rsidR="004C2558" w:rsidRPr="0000158C">
        <w:rPr>
          <w:b/>
          <w:bCs/>
          <w:u w:val="single"/>
        </w:rPr>
        <w:t>objectif « </w:t>
      </w:r>
      <w:r w:rsidR="007527A1" w:rsidRPr="0000158C">
        <w:rPr>
          <w:b/>
          <w:bCs/>
          <w:u w:val="single"/>
        </w:rPr>
        <w:t>0 pollutio</w:t>
      </w:r>
      <w:r w:rsidR="004C2558" w:rsidRPr="0000158C">
        <w:rPr>
          <w:b/>
          <w:bCs/>
          <w:u w:val="single"/>
        </w:rPr>
        <w:t>n »</w:t>
      </w:r>
    </w:p>
    <w:p w14:paraId="76B38841" w14:textId="391D17C9" w:rsidR="003125A7" w:rsidRDefault="003125A7" w:rsidP="00BD33BD">
      <w:pPr>
        <w:jc w:val="both"/>
      </w:pPr>
    </w:p>
    <w:tbl>
      <w:tblPr>
        <w:tblStyle w:val="Grilledutableau"/>
        <w:tblW w:w="0" w:type="auto"/>
        <w:tblLook w:val="04A0" w:firstRow="1" w:lastRow="0" w:firstColumn="1" w:lastColumn="0" w:noHBand="0" w:noVBand="1"/>
      </w:tblPr>
      <w:tblGrid>
        <w:gridCol w:w="4885"/>
        <w:gridCol w:w="4886"/>
      </w:tblGrid>
      <w:tr w:rsidR="00F07F6B" w14:paraId="06E5E1DE" w14:textId="77777777" w:rsidTr="004747D5">
        <w:tc>
          <w:tcPr>
            <w:tcW w:w="4885" w:type="dxa"/>
            <w:shd w:val="clear" w:color="auto" w:fill="5F497A" w:themeFill="accent4" w:themeFillShade="BF"/>
          </w:tcPr>
          <w:p w14:paraId="6282854E" w14:textId="77777777" w:rsidR="00F07F6B" w:rsidRPr="00725D8F" w:rsidRDefault="00F07F6B" w:rsidP="004747D5">
            <w:pPr>
              <w:jc w:val="both"/>
              <w:rPr>
                <w:b/>
                <w:bCs/>
                <w:color w:val="FFFFFF" w:themeColor="background1"/>
              </w:rPr>
            </w:pPr>
            <w:r w:rsidRPr="00725D8F">
              <w:rPr>
                <w:b/>
                <w:bCs/>
                <w:color w:val="FFFFFF" w:themeColor="background1"/>
              </w:rPr>
              <w:t>Nombre d’appels à projets prévus sur 2021-2022</w:t>
            </w:r>
          </w:p>
        </w:tc>
        <w:tc>
          <w:tcPr>
            <w:tcW w:w="4886" w:type="dxa"/>
            <w:shd w:val="clear" w:color="auto" w:fill="CCC0D9" w:themeFill="accent4" w:themeFillTint="66"/>
          </w:tcPr>
          <w:p w14:paraId="4440D987" w14:textId="23ED8D24" w:rsidR="00F07F6B" w:rsidRDefault="00F07F6B" w:rsidP="004747D5">
            <w:pPr>
              <w:jc w:val="center"/>
            </w:pPr>
            <w:r>
              <w:t>1</w:t>
            </w:r>
            <w:r w:rsidR="007A6922">
              <w:t>4</w:t>
            </w:r>
          </w:p>
        </w:tc>
      </w:tr>
      <w:tr w:rsidR="00F07F6B" w14:paraId="13C3D752" w14:textId="77777777" w:rsidTr="004747D5">
        <w:tc>
          <w:tcPr>
            <w:tcW w:w="4885" w:type="dxa"/>
            <w:shd w:val="clear" w:color="auto" w:fill="5F497A" w:themeFill="accent4" w:themeFillShade="BF"/>
          </w:tcPr>
          <w:p w14:paraId="3C16C29D" w14:textId="77777777" w:rsidR="00F07F6B" w:rsidRPr="00725D8F" w:rsidRDefault="00F07F6B" w:rsidP="004747D5">
            <w:pPr>
              <w:jc w:val="both"/>
              <w:rPr>
                <w:b/>
                <w:bCs/>
                <w:color w:val="FFFFFF" w:themeColor="background1"/>
              </w:rPr>
            </w:pPr>
            <w:r w:rsidRPr="00725D8F">
              <w:rPr>
                <w:b/>
                <w:bCs/>
                <w:color w:val="FFFFFF" w:themeColor="background1"/>
              </w:rPr>
              <w:t>Enveloppe budgétaire dédiée sur 2021-2022</w:t>
            </w:r>
          </w:p>
        </w:tc>
        <w:tc>
          <w:tcPr>
            <w:tcW w:w="4886" w:type="dxa"/>
            <w:shd w:val="clear" w:color="auto" w:fill="CCC0D9" w:themeFill="accent4" w:themeFillTint="66"/>
          </w:tcPr>
          <w:p w14:paraId="5034C704" w14:textId="6EEC8E28" w:rsidR="00F07F6B" w:rsidRDefault="00F07F6B" w:rsidP="004747D5">
            <w:pPr>
              <w:jc w:val="center"/>
            </w:pPr>
            <w:r>
              <w:t>116 millions €</w:t>
            </w:r>
          </w:p>
        </w:tc>
      </w:tr>
    </w:tbl>
    <w:p w14:paraId="3BD727F2" w14:textId="77777777" w:rsidR="00F07F6B" w:rsidRDefault="00F07F6B" w:rsidP="00BD33BD">
      <w:pPr>
        <w:jc w:val="both"/>
      </w:pPr>
    </w:p>
    <w:p w14:paraId="7E486B74" w14:textId="604970F9" w:rsidR="00E94CE8" w:rsidRDefault="00241FD0" w:rsidP="00BD33BD">
      <w:pPr>
        <w:jc w:val="both"/>
      </w:pPr>
      <w:r>
        <w:t xml:space="preserve">Ce cluster </w:t>
      </w:r>
      <w:r w:rsidR="0006451C">
        <w:t xml:space="preserve">partage l’objectif de la destination 3, et vise à </w:t>
      </w:r>
      <w:r>
        <w:t>permet</w:t>
      </w:r>
      <w:r w:rsidR="0006451C">
        <w:t>tre</w:t>
      </w:r>
      <w:r>
        <w:t xml:space="preserve"> la mise en œuvre de la nouvelle stratégie « 0 pollution » </w:t>
      </w:r>
      <w:r w:rsidR="0006451C">
        <w:t>adoptée</w:t>
      </w:r>
      <w:r>
        <w:t xml:space="preserve"> dans le cadre du Green Deal. </w:t>
      </w:r>
      <w:r w:rsidR="00FC3082">
        <w:t>La Destination 4 vise en particulier la baisse voir</w:t>
      </w:r>
      <w:r w:rsidR="003A5ED3">
        <w:t>e</w:t>
      </w:r>
      <w:r w:rsidR="00FC3082">
        <w:t xml:space="preserve"> l’arrêt de la pollution due à l’azote (N) et au phosphore (P), la protection des eaux (de surface, souterraine, et maritime), et le développement de systèmes</w:t>
      </w:r>
      <w:r w:rsidR="00FC3082" w:rsidRPr="00FC3082">
        <w:t xml:space="preserve"> circulaires biosourcés, y compris la biotechnologie</w:t>
      </w:r>
      <w:r w:rsidR="00FC3082">
        <w:t xml:space="preserve">. </w:t>
      </w:r>
      <w:r>
        <w:t xml:space="preserve">Elle vise </w:t>
      </w:r>
      <w:r w:rsidR="002C7637">
        <w:t>4 grands thèmes :</w:t>
      </w:r>
    </w:p>
    <w:p w14:paraId="21261289" w14:textId="1D987429" w:rsidR="002C7637" w:rsidRDefault="002C7637" w:rsidP="002C7637">
      <w:pPr>
        <w:pStyle w:val="Paragraphedeliste"/>
        <w:numPr>
          <w:ilvl w:val="0"/>
          <w:numId w:val="15"/>
        </w:numPr>
        <w:jc w:val="both"/>
      </w:pPr>
      <w:r>
        <w:t>L’arrêt de la pollution des sols et de l’eau</w:t>
      </w:r>
    </w:p>
    <w:p w14:paraId="7CAD1D7C" w14:textId="7C4AC166" w:rsidR="002C7637" w:rsidRDefault="002C7637" w:rsidP="002C7637">
      <w:pPr>
        <w:pStyle w:val="Paragraphedeliste"/>
        <w:numPr>
          <w:ilvl w:val="0"/>
          <w:numId w:val="15"/>
        </w:numPr>
        <w:jc w:val="both"/>
      </w:pPr>
      <w:r>
        <w:t>La protection de l’eau potable et la gestion de la pollution des eaux en milieu urbain</w:t>
      </w:r>
    </w:p>
    <w:p w14:paraId="5AEA5925" w14:textId="425B822C" w:rsidR="002C7637" w:rsidRDefault="002C7637" w:rsidP="002C7637">
      <w:pPr>
        <w:pStyle w:val="Paragraphedeliste"/>
        <w:numPr>
          <w:ilvl w:val="0"/>
          <w:numId w:val="15"/>
        </w:numPr>
        <w:jc w:val="both"/>
      </w:pPr>
      <w:r>
        <w:t>La</w:t>
      </w:r>
      <w:r w:rsidR="00241FD0">
        <w:t xml:space="preserve"> lutte contre la</w:t>
      </w:r>
      <w:r>
        <w:t xml:space="preserve"> pollution des mers et des océans</w:t>
      </w:r>
    </w:p>
    <w:p w14:paraId="7408837E" w14:textId="2282566F" w:rsidR="002C7637" w:rsidRDefault="002C7637" w:rsidP="002C7637">
      <w:pPr>
        <w:pStyle w:val="Paragraphedeliste"/>
        <w:numPr>
          <w:ilvl w:val="0"/>
          <w:numId w:val="15"/>
        </w:numPr>
        <w:jc w:val="both"/>
      </w:pPr>
      <w:r>
        <w:t xml:space="preserve">L’amélioration des performances environnementales et la durabilité des procédés et des produits </w:t>
      </w:r>
    </w:p>
    <w:p w14:paraId="72A7F677" w14:textId="65AB7E87" w:rsidR="00405775" w:rsidRDefault="00405775" w:rsidP="00BD33BD">
      <w:pPr>
        <w:jc w:val="both"/>
      </w:pPr>
    </w:p>
    <w:p w14:paraId="7F22013E" w14:textId="77777777" w:rsidR="0000158C" w:rsidRDefault="0000158C" w:rsidP="00BD33BD">
      <w:pPr>
        <w:jc w:val="both"/>
      </w:pPr>
    </w:p>
    <w:p w14:paraId="39E0320B" w14:textId="368B3033" w:rsidR="00CF78F1" w:rsidRPr="0000158C" w:rsidRDefault="00CF78F1" w:rsidP="00BD33BD">
      <w:pPr>
        <w:jc w:val="both"/>
        <w:rPr>
          <w:b/>
          <w:bCs/>
          <w:u w:val="single"/>
        </w:rPr>
      </w:pPr>
      <w:r w:rsidRPr="0000158C">
        <w:rPr>
          <w:b/>
          <w:bCs/>
          <w:u w:val="single"/>
        </w:rPr>
        <w:lastRenderedPageBreak/>
        <w:t xml:space="preserve">Destination </w:t>
      </w:r>
      <w:r w:rsidR="007527A1" w:rsidRPr="0000158C">
        <w:rPr>
          <w:b/>
          <w:bCs/>
          <w:u w:val="single"/>
        </w:rPr>
        <w:t xml:space="preserve">5 </w:t>
      </w:r>
      <w:r w:rsidRPr="0000158C">
        <w:rPr>
          <w:b/>
          <w:bCs/>
          <w:u w:val="single"/>
        </w:rPr>
        <w:t xml:space="preserve">– </w:t>
      </w:r>
      <w:r w:rsidR="007527A1" w:rsidRPr="0000158C">
        <w:rPr>
          <w:b/>
          <w:bCs/>
          <w:u w:val="single"/>
        </w:rPr>
        <w:t>Sols, océan et eau pour l’action climatique</w:t>
      </w:r>
    </w:p>
    <w:p w14:paraId="43FD6040" w14:textId="623DBC31" w:rsidR="00CF78F1" w:rsidRDefault="00CF78F1" w:rsidP="00BD33BD">
      <w:pPr>
        <w:jc w:val="both"/>
      </w:pPr>
    </w:p>
    <w:tbl>
      <w:tblPr>
        <w:tblStyle w:val="Grilledutableau"/>
        <w:tblW w:w="0" w:type="auto"/>
        <w:tblLook w:val="04A0" w:firstRow="1" w:lastRow="0" w:firstColumn="1" w:lastColumn="0" w:noHBand="0" w:noVBand="1"/>
      </w:tblPr>
      <w:tblGrid>
        <w:gridCol w:w="4885"/>
        <w:gridCol w:w="4886"/>
      </w:tblGrid>
      <w:tr w:rsidR="0000158C" w14:paraId="67169B86" w14:textId="77777777" w:rsidTr="004747D5">
        <w:tc>
          <w:tcPr>
            <w:tcW w:w="4885" w:type="dxa"/>
            <w:shd w:val="clear" w:color="auto" w:fill="5F497A" w:themeFill="accent4" w:themeFillShade="BF"/>
          </w:tcPr>
          <w:p w14:paraId="75EB94B7" w14:textId="77777777" w:rsidR="0000158C" w:rsidRPr="00725D8F" w:rsidRDefault="0000158C" w:rsidP="004747D5">
            <w:pPr>
              <w:jc w:val="both"/>
              <w:rPr>
                <w:b/>
                <w:bCs/>
                <w:color w:val="FFFFFF" w:themeColor="background1"/>
              </w:rPr>
            </w:pPr>
            <w:r w:rsidRPr="00725D8F">
              <w:rPr>
                <w:b/>
                <w:bCs/>
                <w:color w:val="FFFFFF" w:themeColor="background1"/>
              </w:rPr>
              <w:t>Nombre d’appels à projets prévus sur 2021-2022</w:t>
            </w:r>
          </w:p>
        </w:tc>
        <w:tc>
          <w:tcPr>
            <w:tcW w:w="4886" w:type="dxa"/>
            <w:shd w:val="clear" w:color="auto" w:fill="CCC0D9" w:themeFill="accent4" w:themeFillTint="66"/>
          </w:tcPr>
          <w:p w14:paraId="69B5309B" w14:textId="4E12DA99" w:rsidR="0000158C" w:rsidRDefault="0000158C" w:rsidP="004747D5">
            <w:pPr>
              <w:jc w:val="center"/>
            </w:pPr>
            <w:r>
              <w:t>16</w:t>
            </w:r>
          </w:p>
        </w:tc>
      </w:tr>
      <w:tr w:rsidR="0000158C" w14:paraId="292F3F9B" w14:textId="77777777" w:rsidTr="004747D5">
        <w:tc>
          <w:tcPr>
            <w:tcW w:w="4885" w:type="dxa"/>
            <w:shd w:val="clear" w:color="auto" w:fill="5F497A" w:themeFill="accent4" w:themeFillShade="BF"/>
          </w:tcPr>
          <w:p w14:paraId="69594F20" w14:textId="77777777" w:rsidR="0000158C" w:rsidRPr="00725D8F" w:rsidRDefault="0000158C" w:rsidP="004747D5">
            <w:pPr>
              <w:jc w:val="both"/>
              <w:rPr>
                <w:b/>
                <w:bCs/>
                <w:color w:val="FFFFFF" w:themeColor="background1"/>
              </w:rPr>
            </w:pPr>
            <w:r w:rsidRPr="00725D8F">
              <w:rPr>
                <w:b/>
                <w:bCs/>
                <w:color w:val="FFFFFF" w:themeColor="background1"/>
              </w:rPr>
              <w:t>Enveloppe budgétaire dédiée sur 2021-2022</w:t>
            </w:r>
          </w:p>
        </w:tc>
        <w:tc>
          <w:tcPr>
            <w:tcW w:w="4886" w:type="dxa"/>
            <w:shd w:val="clear" w:color="auto" w:fill="CCC0D9" w:themeFill="accent4" w:themeFillTint="66"/>
          </w:tcPr>
          <w:p w14:paraId="223D6A99" w14:textId="7AB1D9EA" w:rsidR="0000158C" w:rsidRDefault="0000158C" w:rsidP="004747D5">
            <w:pPr>
              <w:jc w:val="center"/>
            </w:pPr>
            <w:r>
              <w:t>193 millions €</w:t>
            </w:r>
          </w:p>
        </w:tc>
      </w:tr>
    </w:tbl>
    <w:p w14:paraId="0D385A68" w14:textId="77777777" w:rsidR="0000158C" w:rsidRDefault="0000158C" w:rsidP="00BD33BD">
      <w:pPr>
        <w:jc w:val="both"/>
      </w:pPr>
    </w:p>
    <w:p w14:paraId="5EEC4BD1" w14:textId="0FE4B53B" w:rsidR="00DE4FEF" w:rsidRDefault="00DE4FEF" w:rsidP="00CF78F1">
      <w:pPr>
        <w:jc w:val="both"/>
      </w:pPr>
      <w:r>
        <w:t>Le climat est abordé via le cluster 5</w:t>
      </w:r>
      <w:r w:rsidR="00241FD0">
        <w:t>,</w:t>
      </w:r>
      <w:r>
        <w:t xml:space="preserve"> en lien avec l’énergie et la mobilité</w:t>
      </w:r>
      <w:r w:rsidR="00241FD0">
        <w:t>. I</w:t>
      </w:r>
      <w:r>
        <w:t>ci, étant donné les liens très importants avec les écosystèmes</w:t>
      </w:r>
      <w:r w:rsidR="00241FD0">
        <w:t>,</w:t>
      </w:r>
      <w:r>
        <w:t xml:space="preserve"> la question climatique est également abordée</w:t>
      </w:r>
      <w:r w:rsidR="00241FD0">
        <w:t xml:space="preserve"> mais</w:t>
      </w:r>
      <w:r>
        <w:t xml:space="preserve"> en lien avec la biodiversité.</w:t>
      </w:r>
      <w:r w:rsidR="001C6897">
        <w:t xml:space="preserve"> Le but est ici de réduire les émissions de GES, de préserver les puits de carbone naturels voir</w:t>
      </w:r>
      <w:r w:rsidR="003A5ED3">
        <w:t>e</w:t>
      </w:r>
      <w:r w:rsidR="001C6897">
        <w:t xml:space="preserve"> de les améliorer, notamment en développant le potentiel des solutions basées sur la nature (y compris, en lien avec la destination 6, pour les zones rurales et côtières, où l’adaptation au changement climatique est particulièrement nécessaire).</w:t>
      </w:r>
    </w:p>
    <w:p w14:paraId="6ED304CD" w14:textId="77777777" w:rsidR="001C6897" w:rsidRDefault="001C6897" w:rsidP="00CF78F1">
      <w:pPr>
        <w:jc w:val="both"/>
      </w:pPr>
    </w:p>
    <w:p w14:paraId="7A551DAA" w14:textId="5409429E" w:rsidR="00DE4FEF" w:rsidRDefault="003A5ED3" w:rsidP="00CF78F1">
      <w:pPr>
        <w:jc w:val="both"/>
      </w:pPr>
      <w:r>
        <w:t>Cinq</w:t>
      </w:r>
      <w:r w:rsidR="00DE4FEF">
        <w:t xml:space="preserve"> grands thèmes :</w:t>
      </w:r>
    </w:p>
    <w:p w14:paraId="46E8EDB7" w14:textId="2619965E" w:rsidR="00DE4FEF" w:rsidRDefault="00DE4FEF" w:rsidP="00DE4FEF">
      <w:pPr>
        <w:pStyle w:val="Paragraphedeliste"/>
        <w:numPr>
          <w:ilvl w:val="0"/>
          <w:numId w:val="15"/>
        </w:numPr>
        <w:jc w:val="both"/>
      </w:pPr>
      <w:r>
        <w:t>L’impact du changement climatique sur les environnements terrestres et maritimes, les ressources naturelles, l’agriculture, la forêt et les systèmes alimentaires</w:t>
      </w:r>
    </w:p>
    <w:p w14:paraId="371CF0A9" w14:textId="586180F7" w:rsidR="00DE4FEF" w:rsidRDefault="00DE4FEF" w:rsidP="00DE4FEF">
      <w:pPr>
        <w:pStyle w:val="Paragraphedeliste"/>
        <w:numPr>
          <w:ilvl w:val="0"/>
          <w:numId w:val="15"/>
        </w:numPr>
        <w:jc w:val="both"/>
      </w:pPr>
      <w:r>
        <w:t>L</w:t>
      </w:r>
      <w:r w:rsidR="00DD40CB">
        <w:t>a gestion des</w:t>
      </w:r>
      <w:r>
        <w:t xml:space="preserve"> ressources en eau potable</w:t>
      </w:r>
      <w:r w:rsidR="00DD40CB">
        <w:t xml:space="preserve"> (en lien avec le partenariat Water4All)</w:t>
      </w:r>
    </w:p>
    <w:p w14:paraId="41C9E059" w14:textId="085C83A9" w:rsidR="00DE4FEF" w:rsidRDefault="00DD40CB" w:rsidP="00DE4FEF">
      <w:pPr>
        <w:pStyle w:val="Paragraphedeliste"/>
        <w:numPr>
          <w:ilvl w:val="0"/>
          <w:numId w:val="15"/>
        </w:numPr>
        <w:jc w:val="both"/>
      </w:pPr>
      <w:r>
        <w:t>Le renforcement des connaissances sur le lien entre océans et climat</w:t>
      </w:r>
    </w:p>
    <w:p w14:paraId="603395C7" w14:textId="681046C4" w:rsidR="00DD40CB" w:rsidRDefault="00DD40CB" w:rsidP="00DE4FEF">
      <w:pPr>
        <w:pStyle w:val="Paragraphedeliste"/>
        <w:numPr>
          <w:ilvl w:val="0"/>
          <w:numId w:val="15"/>
        </w:numPr>
        <w:jc w:val="both"/>
      </w:pPr>
      <w:r>
        <w:t>La résilience de l’agriculture et des forêts, le potentiel de mitigation des effets du changement climatique grâce aux services écosystémiques et le rôle de l’agriculture pour réduire les émissions de GES</w:t>
      </w:r>
      <w:r w:rsidR="003A5ED3">
        <w:t>.</w:t>
      </w:r>
    </w:p>
    <w:p w14:paraId="4DF96ABD" w14:textId="77777777" w:rsidR="00F34CA9" w:rsidRDefault="00F34CA9" w:rsidP="00DD40CB">
      <w:pPr>
        <w:jc w:val="both"/>
      </w:pPr>
    </w:p>
    <w:p w14:paraId="47DFF787" w14:textId="444B3BBA" w:rsidR="00DD40CB" w:rsidRPr="009A1CD0" w:rsidRDefault="00027218" w:rsidP="00DD40CB">
      <w:pPr>
        <w:jc w:val="both"/>
        <w:rPr>
          <w:b/>
          <w:bCs/>
          <w:u w:val="single"/>
        </w:rPr>
      </w:pPr>
      <w:r w:rsidRPr="009A1CD0">
        <w:rPr>
          <w:b/>
          <w:bCs/>
          <w:u w:val="single"/>
        </w:rPr>
        <w:t>Destination 6 – Des zones urbaines, côtières et rurales résilientes, inclusives et en bonne santé</w:t>
      </w:r>
    </w:p>
    <w:p w14:paraId="0F1EC63A" w14:textId="4168635E" w:rsidR="00027218" w:rsidRDefault="00027218" w:rsidP="00DD40CB">
      <w:pPr>
        <w:jc w:val="both"/>
      </w:pPr>
    </w:p>
    <w:tbl>
      <w:tblPr>
        <w:tblStyle w:val="Grilledutableau"/>
        <w:tblW w:w="0" w:type="auto"/>
        <w:tblLook w:val="04A0" w:firstRow="1" w:lastRow="0" w:firstColumn="1" w:lastColumn="0" w:noHBand="0" w:noVBand="1"/>
      </w:tblPr>
      <w:tblGrid>
        <w:gridCol w:w="4885"/>
        <w:gridCol w:w="4886"/>
      </w:tblGrid>
      <w:tr w:rsidR="00DB7F13" w14:paraId="3A3DFD0B" w14:textId="77777777" w:rsidTr="004747D5">
        <w:tc>
          <w:tcPr>
            <w:tcW w:w="4885" w:type="dxa"/>
            <w:shd w:val="clear" w:color="auto" w:fill="5F497A" w:themeFill="accent4" w:themeFillShade="BF"/>
          </w:tcPr>
          <w:p w14:paraId="3345A5A1" w14:textId="77777777" w:rsidR="00DB7F13" w:rsidRPr="00725D8F" w:rsidRDefault="00DB7F13" w:rsidP="004747D5">
            <w:pPr>
              <w:jc w:val="both"/>
              <w:rPr>
                <w:b/>
                <w:bCs/>
                <w:color w:val="FFFFFF" w:themeColor="background1"/>
              </w:rPr>
            </w:pPr>
            <w:r w:rsidRPr="00725D8F">
              <w:rPr>
                <w:b/>
                <w:bCs/>
                <w:color w:val="FFFFFF" w:themeColor="background1"/>
              </w:rPr>
              <w:t>Nombre d’appels à projets prévus sur 2021-2022</w:t>
            </w:r>
          </w:p>
        </w:tc>
        <w:tc>
          <w:tcPr>
            <w:tcW w:w="4886" w:type="dxa"/>
            <w:shd w:val="clear" w:color="auto" w:fill="CCC0D9" w:themeFill="accent4" w:themeFillTint="66"/>
          </w:tcPr>
          <w:p w14:paraId="11EFDEAB" w14:textId="0FCC897A" w:rsidR="00DB7F13" w:rsidRDefault="00DB7F13" w:rsidP="004747D5">
            <w:pPr>
              <w:jc w:val="center"/>
            </w:pPr>
            <w:r>
              <w:t>13</w:t>
            </w:r>
          </w:p>
        </w:tc>
      </w:tr>
      <w:tr w:rsidR="00DB7F13" w14:paraId="61340CFD" w14:textId="77777777" w:rsidTr="004747D5">
        <w:tc>
          <w:tcPr>
            <w:tcW w:w="4885" w:type="dxa"/>
            <w:shd w:val="clear" w:color="auto" w:fill="5F497A" w:themeFill="accent4" w:themeFillShade="BF"/>
          </w:tcPr>
          <w:p w14:paraId="77216E4D" w14:textId="77777777" w:rsidR="00DB7F13" w:rsidRPr="00725D8F" w:rsidRDefault="00DB7F13" w:rsidP="004747D5">
            <w:pPr>
              <w:jc w:val="both"/>
              <w:rPr>
                <w:b/>
                <w:bCs/>
                <w:color w:val="FFFFFF" w:themeColor="background1"/>
              </w:rPr>
            </w:pPr>
            <w:r w:rsidRPr="00725D8F">
              <w:rPr>
                <w:b/>
                <w:bCs/>
                <w:color w:val="FFFFFF" w:themeColor="background1"/>
              </w:rPr>
              <w:t>Enveloppe budgétaire dédiée sur 2021-2022</w:t>
            </w:r>
          </w:p>
        </w:tc>
        <w:tc>
          <w:tcPr>
            <w:tcW w:w="4886" w:type="dxa"/>
            <w:shd w:val="clear" w:color="auto" w:fill="CCC0D9" w:themeFill="accent4" w:themeFillTint="66"/>
          </w:tcPr>
          <w:p w14:paraId="589181F9" w14:textId="6A009048" w:rsidR="00DB7F13" w:rsidRDefault="00DB7F13" w:rsidP="004747D5">
            <w:pPr>
              <w:jc w:val="center"/>
            </w:pPr>
            <w:r>
              <w:t>128 millions €</w:t>
            </w:r>
          </w:p>
        </w:tc>
      </w:tr>
    </w:tbl>
    <w:p w14:paraId="6DCA26F2" w14:textId="77777777" w:rsidR="00DB7F13" w:rsidRDefault="00DB7F13" w:rsidP="00DD40CB">
      <w:pPr>
        <w:jc w:val="both"/>
      </w:pPr>
    </w:p>
    <w:p w14:paraId="444EEF56" w14:textId="1C7BF602" w:rsidR="00181B2F" w:rsidRDefault="00463F1B" w:rsidP="00DD40CB">
      <w:pPr>
        <w:jc w:val="both"/>
      </w:pPr>
      <w:r>
        <w:t>Cette destination est</w:t>
      </w:r>
      <w:r w:rsidR="0070189B">
        <w:t xml:space="preserve"> </w:t>
      </w:r>
      <w:r>
        <w:t xml:space="preserve">une « petite destination », moins dotée en termes de budget, mais qui permet la prise en compte de zones plus spécifiques. </w:t>
      </w:r>
      <w:r w:rsidR="00181B2F">
        <w:t>Le but est ici que l</w:t>
      </w:r>
      <w:r w:rsidR="00181B2F" w:rsidRPr="00181B2F">
        <w:t>es zones rurales, côtières et urbaines se développent de manière durable, équilibrée et inclusive grâce à une meilleure compréhension des moteurs de changement environnementaux, socio-économiques, comportementaux et démographiques ainsi qu'au déploiement d'innovations numériques, sociales et communautaires</w:t>
      </w:r>
      <w:r w:rsidR="00181B2F">
        <w:t>.</w:t>
      </w:r>
    </w:p>
    <w:p w14:paraId="7C82E2B7" w14:textId="77777777" w:rsidR="00181B2F" w:rsidRDefault="00181B2F" w:rsidP="00DD40CB">
      <w:pPr>
        <w:jc w:val="both"/>
      </w:pPr>
    </w:p>
    <w:p w14:paraId="73D0EB98" w14:textId="024D8B5B" w:rsidR="00027218" w:rsidRDefault="00463F1B" w:rsidP="00DD40CB">
      <w:pPr>
        <w:jc w:val="both"/>
      </w:pPr>
      <w:r>
        <w:t xml:space="preserve">On y trouve </w:t>
      </w:r>
      <w:r w:rsidR="003A5ED3">
        <w:t>cinq</w:t>
      </w:r>
      <w:r w:rsidR="003220F0">
        <w:t xml:space="preserve"> grands thèmes :</w:t>
      </w:r>
    </w:p>
    <w:p w14:paraId="531222C2" w14:textId="0D579A2B" w:rsidR="003220F0" w:rsidRDefault="003220F0" w:rsidP="003220F0">
      <w:pPr>
        <w:pStyle w:val="Paragraphedeliste"/>
        <w:numPr>
          <w:ilvl w:val="0"/>
          <w:numId w:val="15"/>
        </w:numPr>
        <w:jc w:val="both"/>
      </w:pPr>
      <w:r>
        <w:t>L’implication de tous les acteurs dans la transition</w:t>
      </w:r>
    </w:p>
    <w:p w14:paraId="74C229C0" w14:textId="0D856F7B" w:rsidR="003220F0" w:rsidRDefault="003220F0" w:rsidP="003220F0">
      <w:pPr>
        <w:pStyle w:val="Paragraphedeliste"/>
        <w:numPr>
          <w:ilvl w:val="0"/>
          <w:numId w:val="15"/>
        </w:numPr>
        <w:jc w:val="both"/>
      </w:pPr>
      <w:r>
        <w:t>Des solutions innovantes et intelligentes pour les communautés rurales</w:t>
      </w:r>
    </w:p>
    <w:p w14:paraId="0DF9A79E" w14:textId="323F3F44" w:rsidR="003220F0" w:rsidRDefault="003220F0" w:rsidP="003220F0">
      <w:pPr>
        <w:pStyle w:val="Paragraphedeliste"/>
        <w:numPr>
          <w:ilvl w:val="0"/>
          <w:numId w:val="15"/>
        </w:numPr>
        <w:jc w:val="both"/>
      </w:pPr>
      <w:r>
        <w:t>Protection et résilience des communautés côtières</w:t>
      </w:r>
    </w:p>
    <w:p w14:paraId="7D98A96C" w14:textId="14A2D88C" w:rsidR="003220F0" w:rsidRDefault="0038550A" w:rsidP="003220F0">
      <w:pPr>
        <w:pStyle w:val="Paragraphedeliste"/>
        <w:numPr>
          <w:ilvl w:val="0"/>
          <w:numId w:val="15"/>
        </w:numPr>
        <w:jc w:val="both"/>
      </w:pPr>
      <w:r>
        <w:t>L’accès à la nourriture des zones urbaines et péri-urbaines</w:t>
      </w:r>
    </w:p>
    <w:p w14:paraId="465A1CE5" w14:textId="6D7A5E19" w:rsidR="00E73BD8" w:rsidRDefault="00E73BD8" w:rsidP="003220F0">
      <w:pPr>
        <w:pStyle w:val="Paragraphedeliste"/>
        <w:numPr>
          <w:ilvl w:val="0"/>
          <w:numId w:val="15"/>
        </w:numPr>
        <w:jc w:val="both"/>
      </w:pPr>
      <w:r>
        <w:t>Le développement durable du tourisme et des activités de récréation</w:t>
      </w:r>
      <w:r w:rsidR="00944018">
        <w:t xml:space="preserve"> et de loisir</w:t>
      </w:r>
    </w:p>
    <w:p w14:paraId="347E697C" w14:textId="77777777" w:rsidR="0070189B" w:rsidRDefault="0070189B" w:rsidP="00C1294F">
      <w:pPr>
        <w:jc w:val="both"/>
      </w:pPr>
    </w:p>
    <w:p w14:paraId="6F754678" w14:textId="1403D66E" w:rsidR="00C1294F" w:rsidRPr="009A1CD0" w:rsidRDefault="00C1294F" w:rsidP="00C1294F">
      <w:pPr>
        <w:jc w:val="both"/>
        <w:rPr>
          <w:b/>
          <w:bCs/>
          <w:u w:val="single"/>
        </w:rPr>
      </w:pPr>
      <w:r w:rsidRPr="009A1CD0">
        <w:rPr>
          <w:b/>
          <w:bCs/>
          <w:u w:val="single"/>
        </w:rPr>
        <w:t xml:space="preserve">Destination 7 </w:t>
      </w:r>
      <w:r w:rsidR="00AE559F" w:rsidRPr="009A1CD0">
        <w:rPr>
          <w:b/>
          <w:bCs/>
          <w:u w:val="single"/>
        </w:rPr>
        <w:t>–</w:t>
      </w:r>
      <w:r w:rsidRPr="009A1CD0">
        <w:rPr>
          <w:b/>
          <w:bCs/>
          <w:u w:val="single"/>
        </w:rPr>
        <w:t xml:space="preserve"> </w:t>
      </w:r>
      <w:r w:rsidR="00AE559F" w:rsidRPr="009A1CD0">
        <w:rPr>
          <w:b/>
          <w:bCs/>
          <w:u w:val="single"/>
        </w:rPr>
        <w:t>Gouvernance innovante, observations environnementales et solutions numériques pour soutenir la mise en œuvre du Green Deal</w:t>
      </w:r>
    </w:p>
    <w:p w14:paraId="7246039D" w14:textId="10886624" w:rsidR="00AE559F" w:rsidRDefault="00AE559F" w:rsidP="00C1294F">
      <w:pPr>
        <w:jc w:val="both"/>
      </w:pPr>
    </w:p>
    <w:tbl>
      <w:tblPr>
        <w:tblStyle w:val="Grilledutableau"/>
        <w:tblW w:w="0" w:type="auto"/>
        <w:tblLook w:val="04A0" w:firstRow="1" w:lastRow="0" w:firstColumn="1" w:lastColumn="0" w:noHBand="0" w:noVBand="1"/>
      </w:tblPr>
      <w:tblGrid>
        <w:gridCol w:w="4885"/>
        <w:gridCol w:w="4886"/>
      </w:tblGrid>
      <w:tr w:rsidR="00DB7F13" w14:paraId="367D2AE5" w14:textId="77777777" w:rsidTr="004747D5">
        <w:tc>
          <w:tcPr>
            <w:tcW w:w="4885" w:type="dxa"/>
            <w:shd w:val="clear" w:color="auto" w:fill="5F497A" w:themeFill="accent4" w:themeFillShade="BF"/>
          </w:tcPr>
          <w:p w14:paraId="7AAA1A9F" w14:textId="77777777" w:rsidR="00DB7F13" w:rsidRPr="00725D8F" w:rsidRDefault="00DB7F13" w:rsidP="004747D5">
            <w:pPr>
              <w:jc w:val="both"/>
              <w:rPr>
                <w:b/>
                <w:bCs/>
                <w:color w:val="FFFFFF" w:themeColor="background1"/>
              </w:rPr>
            </w:pPr>
            <w:r w:rsidRPr="00725D8F">
              <w:rPr>
                <w:b/>
                <w:bCs/>
                <w:color w:val="FFFFFF" w:themeColor="background1"/>
              </w:rPr>
              <w:t>Nombre d’appels à projets prévus sur 2021-2022</w:t>
            </w:r>
          </w:p>
        </w:tc>
        <w:tc>
          <w:tcPr>
            <w:tcW w:w="4886" w:type="dxa"/>
            <w:shd w:val="clear" w:color="auto" w:fill="CCC0D9" w:themeFill="accent4" w:themeFillTint="66"/>
          </w:tcPr>
          <w:p w14:paraId="6ACC30E8" w14:textId="28299BE8" w:rsidR="00DB7F13" w:rsidRDefault="0079310B" w:rsidP="004747D5">
            <w:pPr>
              <w:jc w:val="center"/>
            </w:pPr>
            <w:r>
              <w:t>43</w:t>
            </w:r>
          </w:p>
        </w:tc>
      </w:tr>
      <w:tr w:rsidR="00DB7F13" w14:paraId="11F2721D" w14:textId="77777777" w:rsidTr="004747D5">
        <w:tc>
          <w:tcPr>
            <w:tcW w:w="4885" w:type="dxa"/>
            <w:shd w:val="clear" w:color="auto" w:fill="5F497A" w:themeFill="accent4" w:themeFillShade="BF"/>
          </w:tcPr>
          <w:p w14:paraId="7AE35B58" w14:textId="77777777" w:rsidR="00DB7F13" w:rsidRPr="00725D8F" w:rsidRDefault="00DB7F13" w:rsidP="004747D5">
            <w:pPr>
              <w:jc w:val="both"/>
              <w:rPr>
                <w:b/>
                <w:bCs/>
                <w:color w:val="FFFFFF" w:themeColor="background1"/>
              </w:rPr>
            </w:pPr>
            <w:r w:rsidRPr="00725D8F">
              <w:rPr>
                <w:b/>
                <w:bCs/>
                <w:color w:val="FFFFFF" w:themeColor="background1"/>
              </w:rPr>
              <w:t>Enveloppe budgétaire dédiée sur 2021-2022</w:t>
            </w:r>
          </w:p>
        </w:tc>
        <w:tc>
          <w:tcPr>
            <w:tcW w:w="4886" w:type="dxa"/>
            <w:shd w:val="clear" w:color="auto" w:fill="CCC0D9" w:themeFill="accent4" w:themeFillTint="66"/>
          </w:tcPr>
          <w:p w14:paraId="7F343C18" w14:textId="07A637D1" w:rsidR="00DB7F13" w:rsidRDefault="00DB7F13" w:rsidP="004747D5">
            <w:pPr>
              <w:jc w:val="center"/>
            </w:pPr>
            <w:r>
              <w:t>368 millions €</w:t>
            </w:r>
          </w:p>
        </w:tc>
      </w:tr>
    </w:tbl>
    <w:p w14:paraId="2E4E6513" w14:textId="77777777" w:rsidR="00DB7F13" w:rsidRDefault="00DB7F13" w:rsidP="00C1294F">
      <w:pPr>
        <w:jc w:val="both"/>
      </w:pPr>
    </w:p>
    <w:p w14:paraId="5A18C41E" w14:textId="21BDE603" w:rsidR="007C72AB" w:rsidRDefault="00463F1B" w:rsidP="00C1294F">
      <w:pPr>
        <w:jc w:val="both"/>
      </w:pPr>
      <w:r>
        <w:t>Ici on trouve une Destination plus transversale et qui correspond à la volonté de développer la gouvernance</w:t>
      </w:r>
      <w:r w:rsidR="007C72AB">
        <w:t xml:space="preserve"> européenne. La Destination 7 vise à expérimenter de nouvelles manières de gérer la transition, et de rendre les connaissances beaucoup plus accessibles, et au plus grand nombre. Le but est d’étudier les barrières institutionnelles à la mise en place du Green Deal (inertie, déséquilibre des pouvoirs, contradiction ou faiblesse législatives ou administrative,</w:t>
      </w:r>
      <w:r w:rsidR="003A5ED3">
        <w:t xml:space="preserve"> </w:t>
      </w:r>
      <w:r w:rsidR="007C72AB">
        <w:t>etc.) et développer des moyens innovants pour rendre la gouvernance européenne plus forte, plus résiliente (et donc moins fragile face à de potentiels grand chocs globaux).</w:t>
      </w:r>
    </w:p>
    <w:p w14:paraId="0702199A" w14:textId="0D2DCC3F" w:rsidR="00AE559F" w:rsidRDefault="007C72AB" w:rsidP="00C1294F">
      <w:pPr>
        <w:jc w:val="both"/>
      </w:pPr>
      <w:r>
        <w:t>Cette destination comprend</w:t>
      </w:r>
      <w:r w:rsidR="00463F1B">
        <w:t xml:space="preserve"> </w:t>
      </w:r>
      <w:r w:rsidR="003A5ED3">
        <w:t>quatre</w:t>
      </w:r>
      <w:r w:rsidR="002E5A94">
        <w:t xml:space="preserve"> grands thèmes :</w:t>
      </w:r>
    </w:p>
    <w:p w14:paraId="764791D7" w14:textId="32FEC85F" w:rsidR="002E5A94" w:rsidRDefault="002E5A94" w:rsidP="002E5A94">
      <w:pPr>
        <w:pStyle w:val="Paragraphedeliste"/>
        <w:numPr>
          <w:ilvl w:val="0"/>
          <w:numId w:val="15"/>
        </w:numPr>
        <w:jc w:val="both"/>
      </w:pPr>
      <w:r>
        <w:t>Mise en place de modèles de gouvernance innovants pour soutenir la mise en œuvre des politiques de l’UE</w:t>
      </w:r>
    </w:p>
    <w:p w14:paraId="7359B714" w14:textId="3101477B" w:rsidR="002E5A94" w:rsidRDefault="002E5A94" w:rsidP="002E5A94">
      <w:pPr>
        <w:pStyle w:val="Paragraphedeliste"/>
        <w:numPr>
          <w:ilvl w:val="0"/>
          <w:numId w:val="15"/>
        </w:numPr>
        <w:jc w:val="both"/>
      </w:pPr>
      <w:r>
        <w:t>Déployer et ajouter de la valeur aux observations environnementales</w:t>
      </w:r>
    </w:p>
    <w:p w14:paraId="67A28900" w14:textId="74AD7586" w:rsidR="002E5A94" w:rsidRDefault="002E5A94" w:rsidP="002E5A94">
      <w:pPr>
        <w:pStyle w:val="Paragraphedeliste"/>
        <w:numPr>
          <w:ilvl w:val="0"/>
          <w:numId w:val="15"/>
        </w:numPr>
        <w:jc w:val="both"/>
      </w:pPr>
      <w:r>
        <w:t>Développement de technologies numériques et de recueil de données</w:t>
      </w:r>
    </w:p>
    <w:p w14:paraId="3D828BB1" w14:textId="209DDEFC" w:rsidR="002E5A94" w:rsidRDefault="002E5A94" w:rsidP="002E5A94">
      <w:pPr>
        <w:pStyle w:val="Paragraphedeliste"/>
        <w:numPr>
          <w:ilvl w:val="0"/>
          <w:numId w:val="15"/>
        </w:numPr>
        <w:jc w:val="both"/>
      </w:pPr>
      <w:r>
        <w:t>Renforcer les connaissances sur l’agriculture et les systèmes innovants</w:t>
      </w:r>
    </w:p>
    <w:p w14:paraId="737DD2E7" w14:textId="77777777" w:rsidR="0079310B" w:rsidRDefault="0079310B" w:rsidP="00CF78F1">
      <w:pPr>
        <w:jc w:val="both"/>
      </w:pPr>
    </w:p>
    <w:p w14:paraId="417F195F" w14:textId="7F42010E" w:rsidR="00845095" w:rsidRDefault="00845095" w:rsidP="0079310B">
      <w:pPr>
        <w:pStyle w:val="Paragraphedeliste"/>
        <w:numPr>
          <w:ilvl w:val="0"/>
          <w:numId w:val="30"/>
        </w:numPr>
        <w:jc w:val="both"/>
      </w:pPr>
      <w:r>
        <w:t xml:space="preserve">Une présentation détaillée du cluster </w:t>
      </w:r>
      <w:r w:rsidR="00182DC6">
        <w:t>6</w:t>
      </w:r>
      <w:r>
        <w:t xml:space="preserve"> est disponible via</w:t>
      </w:r>
      <w:r w:rsidR="003A5ED3">
        <w:t xml:space="preserve"> un</w:t>
      </w:r>
      <w:r>
        <w:t xml:space="preserve"> </w:t>
      </w:r>
      <w:hyperlink r:id="rId10" w:history="1">
        <w:r w:rsidRPr="00845095">
          <w:rPr>
            <w:rStyle w:val="Lienhypertexte"/>
          </w:rPr>
          <w:t>webinaire</w:t>
        </w:r>
      </w:hyperlink>
      <w:r>
        <w:t xml:space="preserve"> sur la chaine </w:t>
      </w:r>
      <w:r w:rsidR="000B3736">
        <w:t>YouTube</w:t>
      </w:r>
      <w:r>
        <w:t xml:space="preserve"> du programme.</w:t>
      </w:r>
    </w:p>
    <w:p w14:paraId="0000001C" w14:textId="4ED6BBE8" w:rsidR="00CC781C" w:rsidRDefault="008F7158">
      <w:pPr>
        <w:pStyle w:val="Titre1"/>
        <w:ind w:firstLine="360"/>
      </w:pPr>
      <w:r>
        <w:t>Types de projets éligibles</w:t>
      </w:r>
    </w:p>
    <w:p w14:paraId="0000001D" w14:textId="4E87AACE" w:rsidR="00CC781C" w:rsidRDefault="00CC781C">
      <w:pPr>
        <w:tabs>
          <w:tab w:val="left" w:pos="1307"/>
        </w:tabs>
        <w:jc w:val="both"/>
      </w:pPr>
    </w:p>
    <w:p w14:paraId="5145C1CD" w14:textId="7ED90A81" w:rsidR="00CD7C67" w:rsidRPr="007D7F68" w:rsidRDefault="00CD7C67" w:rsidP="00777858">
      <w:pPr>
        <w:pStyle w:val="Paragraphedeliste"/>
        <w:numPr>
          <w:ilvl w:val="0"/>
          <w:numId w:val="30"/>
        </w:numPr>
        <w:pBdr>
          <w:top w:val="nil"/>
          <w:left w:val="nil"/>
          <w:bottom w:val="nil"/>
          <w:right w:val="nil"/>
          <w:between w:val="nil"/>
        </w:pBdr>
        <w:tabs>
          <w:tab w:val="left" w:pos="1307"/>
        </w:tabs>
        <w:jc w:val="both"/>
      </w:pPr>
      <w:r w:rsidRPr="00777858">
        <w:rPr>
          <w:color w:val="000000"/>
        </w:rPr>
        <w:t xml:space="preserve">Le programme Horizon Europe finance différents types de projet, appelés « Actions ». </w:t>
      </w:r>
      <w:r w:rsidRPr="00777858">
        <w:rPr>
          <w:b/>
          <w:bCs/>
          <w:color w:val="000000"/>
        </w:rPr>
        <w:t>Chaque appel à projet</w:t>
      </w:r>
      <w:r w:rsidR="003A5ED3">
        <w:rPr>
          <w:b/>
          <w:bCs/>
          <w:color w:val="000000"/>
        </w:rPr>
        <w:t>s</w:t>
      </w:r>
      <w:r w:rsidRPr="00777858">
        <w:rPr>
          <w:b/>
          <w:bCs/>
          <w:color w:val="000000"/>
        </w:rPr>
        <w:t xml:space="preserve"> spécifie dans quelle catégorie doivent se trouver les projets sélectionnés</w:t>
      </w:r>
      <w:r w:rsidRPr="00777858">
        <w:rPr>
          <w:color w:val="000000"/>
        </w:rPr>
        <w:t>. Les types de projets existants sont les suivants</w:t>
      </w:r>
      <w:r w:rsidR="003A5ED3">
        <w:rPr>
          <w:color w:val="000000"/>
        </w:rPr>
        <w:t> :</w:t>
      </w:r>
    </w:p>
    <w:p w14:paraId="3FFCE02F" w14:textId="338A43E1" w:rsidR="00CD7C67" w:rsidRPr="007B2B31" w:rsidRDefault="00CD7C67" w:rsidP="00CD7C67">
      <w:pPr>
        <w:pStyle w:val="Paragraphedeliste"/>
        <w:numPr>
          <w:ilvl w:val="0"/>
          <w:numId w:val="13"/>
        </w:numPr>
        <w:pBdr>
          <w:between w:val="nil"/>
        </w:pBdr>
        <w:tabs>
          <w:tab w:val="left" w:pos="1307"/>
        </w:tabs>
        <w:jc w:val="both"/>
      </w:pPr>
      <w:r w:rsidRPr="007B2B31">
        <w:t>Actions de recherche et d'innovation (RIA- Research Innovation Action)</w:t>
      </w:r>
      <w:r w:rsidR="00A56DC1">
        <w:t xml:space="preserve"> – subvention à 100%</w:t>
      </w:r>
    </w:p>
    <w:p w14:paraId="63313986" w14:textId="3D5D4FF9" w:rsidR="00CD7C67" w:rsidRPr="007B2B31" w:rsidRDefault="00CD7C67" w:rsidP="00CD7C67">
      <w:pPr>
        <w:pStyle w:val="Paragraphedeliste"/>
        <w:numPr>
          <w:ilvl w:val="0"/>
          <w:numId w:val="13"/>
        </w:numPr>
        <w:pBdr>
          <w:between w:val="nil"/>
        </w:pBdr>
        <w:tabs>
          <w:tab w:val="left" w:pos="1307"/>
        </w:tabs>
        <w:jc w:val="both"/>
      </w:pPr>
      <w:r w:rsidRPr="007B2B31">
        <w:t>Actions d'innovation (IA - Innovation Action)</w:t>
      </w:r>
      <w:r w:rsidR="00A56DC1">
        <w:t xml:space="preserve"> – subvention à 70% (100% pour les organismes à but non lucratif)</w:t>
      </w:r>
    </w:p>
    <w:p w14:paraId="7278AA56" w14:textId="7D074361" w:rsidR="00CD7C67" w:rsidRDefault="00CD7C67" w:rsidP="00CD7C67">
      <w:pPr>
        <w:pStyle w:val="Paragraphedeliste"/>
        <w:numPr>
          <w:ilvl w:val="0"/>
          <w:numId w:val="13"/>
        </w:numPr>
        <w:pBdr>
          <w:between w:val="nil"/>
        </w:pBdr>
        <w:tabs>
          <w:tab w:val="left" w:pos="1307"/>
        </w:tabs>
        <w:jc w:val="both"/>
      </w:pPr>
      <w:r w:rsidRPr="007B2B31">
        <w:t>Actions de soutien et de coordination (CSA - Coordination Support Action)</w:t>
      </w:r>
      <w:r w:rsidR="00C07647">
        <w:t xml:space="preserve"> – subvention à 100%</w:t>
      </w:r>
    </w:p>
    <w:p w14:paraId="1A2B8B39" w14:textId="0B1A2AF0" w:rsidR="00CD7C67" w:rsidRDefault="00CD7C67" w:rsidP="00CD7C67">
      <w:pPr>
        <w:pStyle w:val="Paragraphedeliste"/>
        <w:numPr>
          <w:ilvl w:val="0"/>
          <w:numId w:val="13"/>
        </w:numPr>
        <w:pBdr>
          <w:between w:val="nil"/>
        </w:pBdr>
        <w:tabs>
          <w:tab w:val="left" w:pos="1307"/>
        </w:tabs>
        <w:jc w:val="both"/>
      </w:pPr>
      <w:r>
        <w:t>Cofund actions</w:t>
      </w:r>
      <w:r w:rsidR="00C07647">
        <w:t xml:space="preserve"> – subvention entre 30 et 70%</w:t>
      </w:r>
    </w:p>
    <w:p w14:paraId="1388C56E" w14:textId="77777777" w:rsidR="00CD7C67" w:rsidRDefault="00CD7C67" w:rsidP="00CD7C67">
      <w:pPr>
        <w:pBdr>
          <w:top w:val="nil"/>
          <w:left w:val="nil"/>
          <w:bottom w:val="nil"/>
          <w:right w:val="nil"/>
          <w:between w:val="nil"/>
        </w:pBdr>
        <w:tabs>
          <w:tab w:val="left" w:pos="1307"/>
        </w:tabs>
        <w:jc w:val="both"/>
      </w:pPr>
    </w:p>
    <w:p w14:paraId="132F49C1" w14:textId="6774E8AD" w:rsidR="00CD7C67" w:rsidRDefault="00CD7C67" w:rsidP="00CD7C67">
      <w:pPr>
        <w:pBdr>
          <w:top w:val="nil"/>
          <w:left w:val="nil"/>
          <w:bottom w:val="nil"/>
          <w:right w:val="nil"/>
          <w:between w:val="nil"/>
        </w:pBdr>
        <w:tabs>
          <w:tab w:val="left" w:pos="1307"/>
        </w:tabs>
        <w:jc w:val="both"/>
      </w:pPr>
      <w:r w:rsidRPr="00777858">
        <w:rPr>
          <w:i/>
          <w:iCs/>
          <w:sz w:val="21"/>
          <w:szCs w:val="21"/>
        </w:rPr>
        <w:t xml:space="preserve">Pour plus d’information sur les différents types de projets, cliquez </w:t>
      </w:r>
      <w:hyperlink r:id="rId11" w:anchor="action-recherche-innovation" w:history="1">
        <w:r w:rsidRPr="00777858">
          <w:rPr>
            <w:rStyle w:val="Lienhypertexte"/>
            <w:i/>
            <w:iCs/>
            <w:sz w:val="21"/>
            <w:szCs w:val="21"/>
          </w:rPr>
          <w:t>ici</w:t>
        </w:r>
      </w:hyperlink>
      <w:r w:rsidRPr="00777858">
        <w:rPr>
          <w:i/>
          <w:iCs/>
          <w:sz w:val="21"/>
          <w:szCs w:val="21"/>
        </w:rPr>
        <w:t> ou bien consultez la fiche « Horizon Europe – Présentation générale</w:t>
      </w:r>
      <w:r w:rsidR="007D3700">
        <w:rPr>
          <w:i/>
          <w:iCs/>
          <w:sz w:val="21"/>
          <w:szCs w:val="21"/>
        </w:rPr>
        <w:t xml:space="preserve"> – pilier II</w:t>
      </w:r>
      <w:r w:rsidRPr="00777858">
        <w:rPr>
          <w:i/>
          <w:iCs/>
          <w:sz w:val="21"/>
          <w:szCs w:val="21"/>
        </w:rPr>
        <w:t> »</w:t>
      </w:r>
      <w:r w:rsidR="003A5ED3">
        <w:rPr>
          <w:i/>
          <w:iCs/>
          <w:sz w:val="21"/>
          <w:szCs w:val="21"/>
        </w:rPr>
        <w:t>.</w:t>
      </w:r>
    </w:p>
    <w:p w14:paraId="182D1BD4" w14:textId="77777777" w:rsidR="00CD7C67" w:rsidRDefault="00CD7C67" w:rsidP="00CD7C67">
      <w:pPr>
        <w:pBdr>
          <w:top w:val="nil"/>
          <w:left w:val="nil"/>
          <w:bottom w:val="nil"/>
          <w:right w:val="nil"/>
          <w:between w:val="nil"/>
        </w:pBdr>
        <w:tabs>
          <w:tab w:val="left" w:pos="1307"/>
        </w:tabs>
        <w:jc w:val="both"/>
      </w:pPr>
    </w:p>
    <w:p w14:paraId="1591412A" w14:textId="600AFCD1" w:rsidR="00CD7C67" w:rsidRPr="00E7402D" w:rsidRDefault="00CD7C67" w:rsidP="00CD7C67">
      <w:pPr>
        <w:pStyle w:val="Paragraphedeliste"/>
        <w:numPr>
          <w:ilvl w:val="0"/>
          <w:numId w:val="25"/>
        </w:numPr>
        <w:pBdr>
          <w:top w:val="nil"/>
          <w:left w:val="nil"/>
          <w:bottom w:val="nil"/>
          <w:right w:val="nil"/>
          <w:between w:val="nil"/>
        </w:pBdr>
        <w:tabs>
          <w:tab w:val="left" w:pos="1307"/>
        </w:tabs>
        <w:jc w:val="both"/>
        <w:rPr>
          <w:b/>
          <w:bCs/>
        </w:rPr>
      </w:pPr>
      <w:r>
        <w:rPr>
          <w:b/>
          <w:bCs/>
        </w:rPr>
        <w:t xml:space="preserve">Type </w:t>
      </w:r>
      <w:r w:rsidR="007D3700">
        <w:rPr>
          <w:b/>
          <w:bCs/>
        </w:rPr>
        <w:t>de projets recherchés par le cluster 6</w:t>
      </w:r>
    </w:p>
    <w:p w14:paraId="45B07475" w14:textId="52D11EA9" w:rsidR="00CD7C67" w:rsidRDefault="00CD7C67">
      <w:pPr>
        <w:tabs>
          <w:tab w:val="left" w:pos="1307"/>
        </w:tabs>
        <w:jc w:val="both"/>
      </w:pPr>
    </w:p>
    <w:p w14:paraId="3B9226CA" w14:textId="66F7427E" w:rsidR="001B1D7A" w:rsidRDefault="001B1D7A" w:rsidP="00482D6F">
      <w:pPr>
        <w:tabs>
          <w:tab w:val="left" w:pos="1307"/>
        </w:tabs>
        <w:jc w:val="both"/>
      </w:pPr>
      <w:r>
        <w:t xml:space="preserve">Les appels à projets du cluster </w:t>
      </w:r>
      <w:r w:rsidR="0098517B">
        <w:t>6</w:t>
      </w:r>
      <w:r>
        <w:t xml:space="preserve"> sont à </w:t>
      </w:r>
      <w:r w:rsidR="0098517B">
        <w:t>7</w:t>
      </w:r>
      <w:r>
        <w:t>0% constitués d’appels RIA. Les appels restant</w:t>
      </w:r>
      <w:r w:rsidR="003A5ED3">
        <w:t>s</w:t>
      </w:r>
      <w:r>
        <w:t xml:space="preserve"> sont principalement des appels à projets IA, puis quelques appels CSA puis COFUND.</w:t>
      </w:r>
    </w:p>
    <w:p w14:paraId="38C6A766" w14:textId="3810C6A0" w:rsidR="001B1D7A" w:rsidRDefault="001B1D7A" w:rsidP="00482D6F">
      <w:pPr>
        <w:tabs>
          <w:tab w:val="left" w:pos="1307"/>
        </w:tabs>
        <w:jc w:val="both"/>
      </w:pPr>
    </w:p>
    <w:p w14:paraId="76A0C868" w14:textId="663D5100" w:rsidR="001B1D7A" w:rsidRDefault="001B1D7A" w:rsidP="00482D6F">
      <w:pPr>
        <w:tabs>
          <w:tab w:val="left" w:pos="1307"/>
        </w:tabs>
        <w:jc w:val="both"/>
      </w:pPr>
      <w:r>
        <w:t>Ces différents types d’appels sont définis dans la fiche sur les grands principes du pilier 2 d’Horizon Europe.</w:t>
      </w:r>
    </w:p>
    <w:p w14:paraId="59594989" w14:textId="5166F31F" w:rsidR="001176B6" w:rsidRDefault="001176B6" w:rsidP="00482D6F">
      <w:pPr>
        <w:tabs>
          <w:tab w:val="left" w:pos="1307"/>
        </w:tabs>
        <w:jc w:val="both"/>
      </w:pPr>
    </w:p>
    <w:p w14:paraId="7589CABE" w14:textId="0F5E12CC" w:rsidR="001176B6" w:rsidRDefault="001176B6" w:rsidP="00482D6F">
      <w:pPr>
        <w:tabs>
          <w:tab w:val="left" w:pos="1307"/>
        </w:tabs>
        <w:jc w:val="both"/>
      </w:pPr>
      <w:r>
        <w:t>Pour savoir quel type de projet est</w:t>
      </w:r>
      <w:r w:rsidR="00D0105A">
        <w:t xml:space="preserve"> recherché</w:t>
      </w:r>
      <w:r>
        <w:t xml:space="preserve"> pour le sujet qui vous intéresse, il est nécessaire de consulter le </w:t>
      </w:r>
      <w:hyperlink r:id="rId12" w:history="1">
        <w:r w:rsidRPr="00B16B14">
          <w:rPr>
            <w:rStyle w:val="Lienhypertexte"/>
          </w:rPr>
          <w:t>Programme de travail</w:t>
        </w:r>
      </w:hyperlink>
      <w:r w:rsidR="00B16B14">
        <w:t xml:space="preserve"> </w:t>
      </w:r>
      <w:r>
        <w:t>, qui défini</w:t>
      </w:r>
      <w:r w:rsidR="00B16B14">
        <w:t>t</w:t>
      </w:r>
      <w:r>
        <w:t xml:space="preserve"> </w:t>
      </w:r>
      <w:r w:rsidR="00D0105A">
        <w:t>le</w:t>
      </w:r>
      <w:r>
        <w:t xml:space="preserve"> type de projet </w:t>
      </w:r>
      <w:r w:rsidR="00D0105A">
        <w:t xml:space="preserve">recherché </w:t>
      </w:r>
      <w:r>
        <w:t>par</w:t>
      </w:r>
      <w:r w:rsidR="00D0105A">
        <w:t xml:space="preserve"> chaque</w:t>
      </w:r>
      <w:r>
        <w:t xml:space="preserve"> appel.</w:t>
      </w:r>
    </w:p>
    <w:p w14:paraId="0000002D" w14:textId="77777777" w:rsidR="00CC781C" w:rsidRDefault="008F7158">
      <w:pPr>
        <w:pStyle w:val="Titre1"/>
        <w:ind w:firstLine="360"/>
      </w:pPr>
      <w:r>
        <w:t>Dispositions administratives et financières</w:t>
      </w:r>
    </w:p>
    <w:p w14:paraId="0000002E" w14:textId="77777777" w:rsidR="00CC781C" w:rsidRDefault="00CC781C">
      <w:pPr>
        <w:pBdr>
          <w:top w:val="nil"/>
          <w:left w:val="nil"/>
          <w:bottom w:val="nil"/>
          <w:right w:val="nil"/>
          <w:between w:val="nil"/>
        </w:pBdr>
        <w:tabs>
          <w:tab w:val="left" w:pos="1307"/>
        </w:tabs>
        <w:ind w:left="360"/>
        <w:jc w:val="both"/>
        <w:rPr>
          <w:color w:val="000000"/>
        </w:rPr>
      </w:pPr>
    </w:p>
    <w:p w14:paraId="3152F83A" w14:textId="77777777" w:rsidR="008541A1" w:rsidRDefault="008541A1" w:rsidP="008541A1">
      <w:pPr>
        <w:pStyle w:val="Paragraphedeliste"/>
        <w:numPr>
          <w:ilvl w:val="0"/>
          <w:numId w:val="19"/>
        </w:numPr>
        <w:pBdr>
          <w:top w:val="nil"/>
          <w:left w:val="nil"/>
          <w:bottom w:val="nil"/>
          <w:right w:val="nil"/>
          <w:between w:val="nil"/>
        </w:pBdr>
        <w:tabs>
          <w:tab w:val="left" w:pos="1307"/>
        </w:tabs>
        <w:jc w:val="both"/>
      </w:pPr>
      <w:r w:rsidRPr="00037D79">
        <w:rPr>
          <w:b/>
          <w:bCs/>
        </w:rPr>
        <w:t>Les coûts éligibles</w:t>
      </w:r>
      <w:r>
        <w:t xml:space="preserve"> (c’est-à-dire les coûts qui peuvent être déclarés dans le budget et pris en compte pour le calcul de la subvention) sont les suivants : </w:t>
      </w:r>
    </w:p>
    <w:p w14:paraId="2385A6D1" w14:textId="77777777" w:rsidR="008541A1" w:rsidRDefault="008541A1" w:rsidP="008541A1">
      <w:pPr>
        <w:pStyle w:val="Paragraphedeliste"/>
        <w:numPr>
          <w:ilvl w:val="0"/>
          <w:numId w:val="13"/>
        </w:numPr>
        <w:pBdr>
          <w:top w:val="nil"/>
          <w:left w:val="nil"/>
          <w:bottom w:val="nil"/>
          <w:right w:val="nil"/>
          <w:between w:val="nil"/>
        </w:pBdr>
        <w:tabs>
          <w:tab w:val="left" w:pos="1307"/>
        </w:tabs>
        <w:jc w:val="both"/>
      </w:pPr>
      <w:r w:rsidRPr="00037D79">
        <w:rPr>
          <w:u w:val="single"/>
        </w:rPr>
        <w:t>Coûts de personnel</w:t>
      </w:r>
      <w:r>
        <w:t xml:space="preserve"> – déclaration aux coûts réels (ou déclaration aux taux journalier si c’est la pratique habituelle)</w:t>
      </w:r>
    </w:p>
    <w:p w14:paraId="595D5DD1"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Employés</w:t>
      </w:r>
    </w:p>
    <w:p w14:paraId="6DE4F61C"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Personnes physiques sous contrats directs</w:t>
      </w:r>
    </w:p>
    <w:p w14:paraId="03C2928D"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Personnels détachés par un tiers contre paiement</w:t>
      </w:r>
    </w:p>
    <w:p w14:paraId="5A7CE0CC"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Directeurs de PME sans salaire</w:t>
      </w:r>
    </w:p>
    <w:p w14:paraId="03C8C715" w14:textId="77777777" w:rsidR="008541A1" w:rsidRDefault="008541A1" w:rsidP="008541A1">
      <w:pPr>
        <w:pStyle w:val="Paragraphedeliste"/>
        <w:numPr>
          <w:ilvl w:val="0"/>
          <w:numId w:val="13"/>
        </w:numPr>
        <w:pBdr>
          <w:top w:val="nil"/>
          <w:left w:val="nil"/>
          <w:bottom w:val="nil"/>
          <w:right w:val="nil"/>
          <w:between w:val="nil"/>
        </w:pBdr>
        <w:tabs>
          <w:tab w:val="left" w:pos="1307"/>
        </w:tabs>
        <w:jc w:val="both"/>
      </w:pPr>
      <w:r w:rsidRPr="00037D79">
        <w:rPr>
          <w:u w:val="single"/>
        </w:rPr>
        <w:t>Prestations/assistance externe</w:t>
      </w:r>
      <w:r>
        <w:t xml:space="preserve"> (pour la réalisation directe d’une action importante pour le projet) – coûts réels</w:t>
      </w:r>
    </w:p>
    <w:p w14:paraId="488A235B" w14:textId="77777777" w:rsidR="008541A1" w:rsidRPr="00037D79" w:rsidRDefault="008541A1" w:rsidP="008541A1">
      <w:pPr>
        <w:pStyle w:val="Paragraphedeliste"/>
        <w:numPr>
          <w:ilvl w:val="0"/>
          <w:numId w:val="13"/>
        </w:numPr>
        <w:pBdr>
          <w:top w:val="nil"/>
          <w:left w:val="nil"/>
          <w:bottom w:val="nil"/>
          <w:right w:val="nil"/>
          <w:between w:val="nil"/>
        </w:pBdr>
        <w:tabs>
          <w:tab w:val="left" w:pos="1307"/>
        </w:tabs>
        <w:jc w:val="both"/>
      </w:pPr>
      <w:r w:rsidRPr="00037D79">
        <w:rPr>
          <w:u w:val="single"/>
        </w:rPr>
        <w:t>Achats</w:t>
      </w:r>
      <w:r w:rsidRPr="00037D79">
        <w:t xml:space="preserve"> – coûts réels</w:t>
      </w:r>
    </w:p>
    <w:p w14:paraId="767B32C5"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Déplacements</w:t>
      </w:r>
    </w:p>
    <w:p w14:paraId="6F57B22A" w14:textId="2703CB8A" w:rsidR="008541A1" w:rsidRDefault="00B07F25" w:rsidP="008541A1">
      <w:pPr>
        <w:pStyle w:val="Paragraphedeliste"/>
        <w:numPr>
          <w:ilvl w:val="1"/>
          <w:numId w:val="13"/>
        </w:numPr>
        <w:pBdr>
          <w:top w:val="nil"/>
          <w:left w:val="nil"/>
          <w:bottom w:val="nil"/>
          <w:right w:val="nil"/>
          <w:between w:val="nil"/>
        </w:pBdr>
        <w:tabs>
          <w:tab w:val="left" w:pos="1307"/>
        </w:tabs>
        <w:jc w:val="both"/>
      </w:pPr>
      <w:r>
        <w:t>Équipements</w:t>
      </w:r>
    </w:p>
    <w:p w14:paraId="125AE62E"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Autres biens, travaux et services (pour des travaux ou services annexes)</w:t>
      </w:r>
    </w:p>
    <w:p w14:paraId="443D1BFF" w14:textId="77777777" w:rsidR="008541A1" w:rsidRPr="00037D79" w:rsidRDefault="008541A1" w:rsidP="008541A1">
      <w:pPr>
        <w:pStyle w:val="Paragraphedeliste"/>
        <w:numPr>
          <w:ilvl w:val="0"/>
          <w:numId w:val="23"/>
        </w:numPr>
        <w:pBdr>
          <w:top w:val="nil"/>
          <w:left w:val="nil"/>
          <w:bottom w:val="nil"/>
          <w:right w:val="nil"/>
          <w:between w:val="nil"/>
        </w:pBdr>
        <w:tabs>
          <w:tab w:val="left" w:pos="1307"/>
        </w:tabs>
        <w:jc w:val="both"/>
        <w:rPr>
          <w:u w:val="single"/>
        </w:rPr>
      </w:pPr>
      <w:r w:rsidRPr="00037D79">
        <w:rPr>
          <w:u w:val="single"/>
        </w:rPr>
        <w:t>Autres coûts</w:t>
      </w:r>
    </w:p>
    <w:p w14:paraId="7767E2B2" w14:textId="77777777" w:rsidR="008541A1" w:rsidRDefault="008541A1" w:rsidP="008541A1">
      <w:pPr>
        <w:pStyle w:val="Paragraphedeliste"/>
        <w:numPr>
          <w:ilvl w:val="1"/>
          <w:numId w:val="23"/>
        </w:numPr>
        <w:pBdr>
          <w:top w:val="nil"/>
          <w:left w:val="nil"/>
          <w:bottom w:val="nil"/>
          <w:right w:val="nil"/>
          <w:between w:val="nil"/>
        </w:pBdr>
        <w:tabs>
          <w:tab w:val="left" w:pos="1307"/>
        </w:tabs>
        <w:jc w:val="both"/>
      </w:pPr>
      <w:r>
        <w:t>Soutien financier à des tiers au projet (« subvention en cascade ») – coûts réels</w:t>
      </w:r>
    </w:p>
    <w:p w14:paraId="6770B76E" w14:textId="77777777" w:rsidR="008541A1" w:rsidRDefault="008541A1" w:rsidP="008541A1">
      <w:pPr>
        <w:pStyle w:val="Paragraphedeliste"/>
        <w:numPr>
          <w:ilvl w:val="1"/>
          <w:numId w:val="23"/>
        </w:numPr>
        <w:pBdr>
          <w:top w:val="nil"/>
          <w:left w:val="nil"/>
          <w:bottom w:val="nil"/>
          <w:right w:val="nil"/>
          <w:between w:val="nil"/>
        </w:pBdr>
        <w:tabs>
          <w:tab w:val="left" w:pos="1307"/>
        </w:tabs>
        <w:jc w:val="both"/>
      </w:pPr>
      <w:r>
        <w:t>Facturation interne (attention, des règles spécifiques s’appliquent) – coûts unitaires sur la base des pratiques comptables du bénéficiaire</w:t>
      </w:r>
    </w:p>
    <w:p w14:paraId="6A39DF09" w14:textId="77777777" w:rsidR="008541A1" w:rsidRPr="00F522B6" w:rsidRDefault="008541A1" w:rsidP="008541A1">
      <w:pPr>
        <w:pStyle w:val="Paragraphedeliste"/>
        <w:numPr>
          <w:ilvl w:val="0"/>
          <w:numId w:val="23"/>
        </w:numPr>
        <w:pBdr>
          <w:top w:val="nil"/>
          <w:left w:val="nil"/>
          <w:bottom w:val="nil"/>
          <w:right w:val="nil"/>
          <w:between w:val="nil"/>
        </w:pBdr>
        <w:tabs>
          <w:tab w:val="left" w:pos="1307"/>
        </w:tabs>
        <w:jc w:val="both"/>
        <w:rPr>
          <w:b/>
          <w:bCs/>
        </w:rPr>
      </w:pPr>
      <w:r w:rsidRPr="00037D79">
        <w:rPr>
          <w:u w:val="single"/>
        </w:rPr>
        <w:t>Coûts indirects</w:t>
      </w:r>
      <w:r>
        <w:t xml:space="preserve"> – taux forfaitaire calculé sur la base de 25% du total des coûts de personnel + coûts d’achats</w:t>
      </w:r>
      <w:r>
        <w:rPr>
          <w:rStyle w:val="Appelnotedebasdep"/>
        </w:rPr>
        <w:footnoteReference w:id="1"/>
      </w:r>
    </w:p>
    <w:p w14:paraId="492E4193" w14:textId="77777777" w:rsidR="008541A1" w:rsidRDefault="008541A1" w:rsidP="008541A1">
      <w:pPr>
        <w:pBdr>
          <w:top w:val="nil"/>
          <w:left w:val="nil"/>
          <w:bottom w:val="nil"/>
          <w:right w:val="nil"/>
          <w:between w:val="nil"/>
        </w:pBdr>
        <w:tabs>
          <w:tab w:val="left" w:pos="1307"/>
        </w:tabs>
        <w:ind w:left="360"/>
        <w:jc w:val="both"/>
      </w:pPr>
    </w:p>
    <w:p w14:paraId="0E966E0F" w14:textId="77777777" w:rsidR="008541A1" w:rsidRDefault="008541A1" w:rsidP="008541A1">
      <w:pPr>
        <w:pBdr>
          <w:top w:val="nil"/>
          <w:left w:val="nil"/>
          <w:bottom w:val="nil"/>
          <w:right w:val="nil"/>
          <w:between w:val="nil"/>
        </w:pBdr>
        <w:tabs>
          <w:tab w:val="left" w:pos="1307"/>
        </w:tabs>
        <w:ind w:left="360"/>
        <w:jc w:val="both"/>
      </w:pPr>
      <w:r w:rsidRPr="008541A1">
        <w:rPr>
          <w:b/>
          <w:bCs/>
        </w:rPr>
        <w:t>Ces règles sont les règles générales</w:t>
      </w:r>
      <w:r>
        <w:t xml:space="preserve"> qui s’appliquent à Horizon Europe, des règles d’éligibilité différentes peuvent s’appliquer selon les piliers, clusters, ou appels à projet.</w:t>
      </w:r>
    </w:p>
    <w:p w14:paraId="3C08FE21" w14:textId="77777777" w:rsidR="008541A1" w:rsidRDefault="008541A1" w:rsidP="008541A1">
      <w:pPr>
        <w:pBdr>
          <w:top w:val="nil"/>
          <w:left w:val="nil"/>
          <w:bottom w:val="nil"/>
          <w:right w:val="nil"/>
          <w:between w:val="nil"/>
        </w:pBdr>
        <w:tabs>
          <w:tab w:val="left" w:pos="1307"/>
        </w:tabs>
        <w:jc w:val="both"/>
      </w:pPr>
    </w:p>
    <w:p w14:paraId="400A192C" w14:textId="3DA4BC91" w:rsidR="008541A1" w:rsidRDefault="00B07F25" w:rsidP="008541A1">
      <w:pPr>
        <w:pStyle w:val="Paragraphedeliste"/>
        <w:numPr>
          <w:ilvl w:val="0"/>
          <w:numId w:val="19"/>
        </w:numPr>
        <w:pBdr>
          <w:top w:val="nil"/>
          <w:left w:val="nil"/>
          <w:bottom w:val="nil"/>
          <w:right w:val="nil"/>
          <w:between w:val="nil"/>
        </w:pBdr>
        <w:tabs>
          <w:tab w:val="left" w:pos="1307"/>
        </w:tabs>
        <w:jc w:val="both"/>
      </w:pPr>
      <w:r>
        <w:rPr>
          <w:b/>
          <w:bCs/>
        </w:rPr>
        <w:t xml:space="preserve">Langue : </w:t>
      </w:r>
      <w:r>
        <w:t>le</w:t>
      </w:r>
      <w:r w:rsidR="008541A1">
        <w:t xml:space="preserve"> projet peut être rédigé dans toutes les langues officielles de l’Union européenne, mais dans les faits le partenariat international pousse les participants à rédiger en anglais. En cas de rédaction dans une langue autre que l’anglais un résumé en anglais devra être joint.</w:t>
      </w:r>
    </w:p>
    <w:p w14:paraId="5E747703" w14:textId="77777777" w:rsidR="008541A1" w:rsidRDefault="008541A1" w:rsidP="008541A1">
      <w:pPr>
        <w:pBdr>
          <w:top w:val="nil"/>
          <w:left w:val="nil"/>
          <w:bottom w:val="nil"/>
          <w:right w:val="nil"/>
          <w:between w:val="nil"/>
        </w:pBdr>
        <w:tabs>
          <w:tab w:val="left" w:pos="1307"/>
        </w:tabs>
        <w:jc w:val="both"/>
      </w:pPr>
    </w:p>
    <w:p w14:paraId="3506999D" w14:textId="78398DF8" w:rsidR="008541A1" w:rsidRDefault="008541A1" w:rsidP="00777858">
      <w:pPr>
        <w:pStyle w:val="Paragraphedeliste"/>
        <w:numPr>
          <w:ilvl w:val="0"/>
          <w:numId w:val="19"/>
        </w:numPr>
        <w:pBdr>
          <w:top w:val="nil"/>
          <w:left w:val="nil"/>
          <w:bottom w:val="nil"/>
          <w:right w:val="nil"/>
          <w:between w:val="nil"/>
        </w:pBdr>
        <w:tabs>
          <w:tab w:val="left" w:pos="1307"/>
        </w:tabs>
        <w:jc w:val="both"/>
      </w:pPr>
      <w:r w:rsidRPr="00777858">
        <w:rPr>
          <w:b/>
          <w:bCs/>
        </w:rPr>
        <w:t>Partenariat</w:t>
      </w:r>
      <w:r w:rsidR="00B07F25">
        <w:rPr>
          <w:b/>
          <w:bCs/>
        </w:rPr>
        <w:t> :</w:t>
      </w:r>
    </w:p>
    <w:p w14:paraId="593FE89C" w14:textId="3C3EA7FA" w:rsidR="008541A1" w:rsidRDefault="008541A1" w:rsidP="008541A1">
      <w:pPr>
        <w:numPr>
          <w:ilvl w:val="1"/>
          <w:numId w:val="1"/>
        </w:numPr>
        <w:tabs>
          <w:tab w:val="left" w:pos="1307"/>
        </w:tabs>
        <w:jc w:val="both"/>
      </w:pPr>
      <w:r>
        <w:t xml:space="preserve">Les projets Horizon Europe et plus particulièrement les RIA doivent obligatoirement former </w:t>
      </w:r>
      <w:r w:rsidRPr="00DD17EE">
        <w:rPr>
          <w:b/>
          <w:bCs/>
        </w:rPr>
        <w:t>un partenariat d’au moins trois membres, représentant au moins trois membres du programmes Horizon Europe</w:t>
      </w:r>
      <w:r>
        <w:t xml:space="preserve"> (donc soit trois </w:t>
      </w:r>
      <w:r w:rsidR="00B07F25">
        <w:t>États</w:t>
      </w:r>
      <w:r>
        <w:t xml:space="preserve"> membres, soit un </w:t>
      </w:r>
      <w:r w:rsidR="00B07F25">
        <w:t>État</w:t>
      </w:r>
      <w:r>
        <w:t xml:space="preserve"> membres et deux </w:t>
      </w:r>
      <w:r w:rsidR="00B07F25">
        <w:t>États</w:t>
      </w:r>
      <w:r>
        <w:t xml:space="preserve"> associés, etc</w:t>
      </w:r>
      <w:r w:rsidR="00B07F25">
        <w:t>.</w:t>
      </w:r>
      <w:r>
        <w:rPr>
          <w:rStyle w:val="Appelnotedebasdep"/>
        </w:rPr>
        <w:footnoteReference w:id="2"/>
      </w:r>
      <w:r>
        <w:t>.)</w:t>
      </w:r>
    </w:p>
    <w:p w14:paraId="03CB9AF1" w14:textId="1B8CF6C9" w:rsidR="008541A1" w:rsidRDefault="008541A1" w:rsidP="008541A1">
      <w:pPr>
        <w:numPr>
          <w:ilvl w:val="1"/>
          <w:numId w:val="1"/>
        </w:numPr>
        <w:tabs>
          <w:tab w:val="left" w:pos="1307"/>
        </w:tabs>
        <w:jc w:val="both"/>
      </w:pPr>
      <w:r>
        <w:t xml:space="preserve">Le porteur de projet </w:t>
      </w:r>
      <w:r w:rsidR="00B07F25">
        <w:t>d</w:t>
      </w:r>
      <w:r>
        <w:t xml:space="preserve">oit obligatoirement être basé dans un </w:t>
      </w:r>
      <w:r w:rsidR="00B07F25">
        <w:t>État</w:t>
      </w:r>
      <w:r>
        <w:t xml:space="preserve"> membre de l’Union européenne. Il doit s’agir d’un acteur pertinent par rapport au sujet traité. Cet acteur peut-être un acteur de la recherche (Université, laboratoire etc.), une entreprise, une association, etc.</w:t>
      </w:r>
    </w:p>
    <w:p w14:paraId="3503C31A" w14:textId="09E439DD" w:rsidR="008541A1" w:rsidRDefault="008541A1" w:rsidP="008541A1">
      <w:pPr>
        <w:numPr>
          <w:ilvl w:val="1"/>
          <w:numId w:val="1"/>
        </w:numPr>
        <w:tabs>
          <w:tab w:val="left" w:pos="1307"/>
        </w:tabs>
        <w:jc w:val="both"/>
      </w:pPr>
      <w:r>
        <w:t xml:space="preserve">Une </w:t>
      </w:r>
      <w:r w:rsidRPr="0026654F">
        <w:rPr>
          <w:b/>
          <w:bCs/>
        </w:rPr>
        <w:t>vérification de la capacité financière est effectuée, uniquement pour le porteur de projet</w:t>
      </w:r>
      <w:r>
        <w:t>, dès que la subvention demandée est supérieure à 500 000€, sauf si l’organisation coordinatrice est un organisme public, un établissement d’enseignement supérieur, un individu boursier, une organisation internationale garantie par un État membre ou État associé</w:t>
      </w:r>
      <w:r w:rsidR="00B07F25">
        <w:t>.</w:t>
      </w:r>
    </w:p>
    <w:p w14:paraId="6C609515" w14:textId="64511B7E" w:rsidR="008541A1" w:rsidRDefault="008541A1" w:rsidP="008541A1">
      <w:pPr>
        <w:numPr>
          <w:ilvl w:val="1"/>
          <w:numId w:val="1"/>
        </w:numPr>
        <w:tabs>
          <w:tab w:val="left" w:pos="1307"/>
        </w:tabs>
        <w:jc w:val="both"/>
      </w:pPr>
      <w:r>
        <w:t>Le programme Horizon Europe est le programme le plus ouvert en terme</w:t>
      </w:r>
      <w:r w:rsidR="00B07F25">
        <w:t>s</w:t>
      </w:r>
      <w:r>
        <w:t xml:space="preserve"> de partenariat. Peuvent participer :</w:t>
      </w:r>
    </w:p>
    <w:p w14:paraId="50444243" w14:textId="73653549" w:rsidR="008541A1" w:rsidRDefault="008541A1" w:rsidP="008541A1">
      <w:pPr>
        <w:numPr>
          <w:ilvl w:val="2"/>
          <w:numId w:val="1"/>
        </w:numPr>
        <w:tabs>
          <w:tab w:val="left" w:pos="1307"/>
        </w:tabs>
        <w:jc w:val="both"/>
      </w:pPr>
      <w:r>
        <w:t>Des acteurs issus de l’espace économique européen (liste)</w:t>
      </w:r>
      <w:r w:rsidR="00B07F25">
        <w:t>.</w:t>
      </w:r>
    </w:p>
    <w:p w14:paraId="3207B64B" w14:textId="77777777" w:rsidR="00B07F25" w:rsidRDefault="008541A1" w:rsidP="00B07F25">
      <w:pPr>
        <w:numPr>
          <w:ilvl w:val="2"/>
          <w:numId w:val="1"/>
        </w:numPr>
        <w:tabs>
          <w:tab w:val="left" w:pos="1307"/>
        </w:tabs>
        <w:jc w:val="both"/>
      </w:pPr>
      <w:r>
        <w:t xml:space="preserve">Des acteurs </w:t>
      </w:r>
      <w:r w:rsidR="00B07F25">
        <w:t>issus des Pays et Territoires d’Outre-Mer.</w:t>
      </w:r>
    </w:p>
    <w:p w14:paraId="7EE4EF85" w14:textId="287AC9E3" w:rsidR="008541A1" w:rsidRDefault="008541A1" w:rsidP="004747D5">
      <w:pPr>
        <w:numPr>
          <w:ilvl w:val="2"/>
          <w:numId w:val="1"/>
        </w:numPr>
        <w:tabs>
          <w:tab w:val="left" w:pos="1307"/>
        </w:tabs>
        <w:jc w:val="both"/>
      </w:pPr>
      <w:r>
        <w:t>Des acteurs issus de pays tiers (les « </w:t>
      </w:r>
      <w:r w:rsidR="00B07F25">
        <w:t>États</w:t>
      </w:r>
      <w:r>
        <w:t xml:space="preserve"> associés »). Ces pays signent un accord avec la Commission pour être considérés comme </w:t>
      </w:r>
      <w:r w:rsidR="00B07F25">
        <w:t>États</w:t>
      </w:r>
      <w:r>
        <w:t xml:space="preserve"> associés. Ces accords n’ont pas encore été renouvelés pour 2021-2027, en attendant, la Commission considère comme </w:t>
      </w:r>
      <w:r w:rsidR="00B07F25">
        <w:t>États</w:t>
      </w:r>
      <w:r>
        <w:t xml:space="preserve"> associés la liste des </w:t>
      </w:r>
      <w:r w:rsidR="00B07F25">
        <w:t>États</w:t>
      </w:r>
      <w:r>
        <w:t xml:space="preserve"> admis pour 2014-2021 (voir liste </w:t>
      </w:r>
      <w:hyperlink r:id="rId13" w:history="1">
        <w:r w:rsidRPr="005C431F">
          <w:rPr>
            <w:rStyle w:val="Lienhypertexte"/>
          </w:rPr>
          <w:t>ici</w:t>
        </w:r>
      </w:hyperlink>
      <w:r>
        <w:t>).</w:t>
      </w:r>
    </w:p>
    <w:p w14:paraId="2FC5BD2D" w14:textId="0A548720" w:rsidR="008541A1" w:rsidRPr="007110C5" w:rsidRDefault="008541A1" w:rsidP="008541A1">
      <w:pPr>
        <w:numPr>
          <w:ilvl w:val="2"/>
          <w:numId w:val="1"/>
        </w:numPr>
        <w:tabs>
          <w:tab w:val="left" w:pos="1307"/>
        </w:tabs>
        <w:jc w:val="both"/>
      </w:pPr>
      <w:r>
        <w:t>Des acteurs issus des pays en voie de développement, sauf exclusion spécifique mentionnée dans certains appels (la liste peut être trouvée dans les annexes des programmes de travail pluriannuel, à paraitre pour 2021-2022</w:t>
      </w:r>
      <w:r>
        <w:rPr>
          <w:rStyle w:val="Appelnotedebasdep"/>
        </w:rPr>
        <w:footnoteReference w:id="3"/>
      </w:r>
      <w:r w:rsidR="00B07F25">
        <w:t>)</w:t>
      </w:r>
      <w:r>
        <w:t>.</w:t>
      </w:r>
    </w:p>
    <w:p w14:paraId="4FF72490" w14:textId="77777777" w:rsidR="008541A1" w:rsidRPr="007110C5" w:rsidRDefault="008541A1" w:rsidP="008541A1">
      <w:pPr>
        <w:pBdr>
          <w:top w:val="nil"/>
          <w:left w:val="nil"/>
          <w:bottom w:val="nil"/>
          <w:right w:val="nil"/>
          <w:between w:val="nil"/>
        </w:pBdr>
        <w:tabs>
          <w:tab w:val="left" w:pos="1307"/>
        </w:tabs>
        <w:jc w:val="both"/>
      </w:pPr>
    </w:p>
    <w:p w14:paraId="57429183" w14:textId="3057EF47" w:rsidR="008541A1" w:rsidRPr="007110C5" w:rsidRDefault="008541A1" w:rsidP="00777858">
      <w:pPr>
        <w:pStyle w:val="Paragraphedeliste"/>
        <w:numPr>
          <w:ilvl w:val="0"/>
          <w:numId w:val="31"/>
        </w:numPr>
        <w:pBdr>
          <w:top w:val="nil"/>
          <w:left w:val="nil"/>
          <w:bottom w:val="nil"/>
          <w:right w:val="nil"/>
          <w:between w:val="nil"/>
        </w:pBdr>
        <w:tabs>
          <w:tab w:val="left" w:pos="1307"/>
        </w:tabs>
        <w:jc w:val="both"/>
      </w:pPr>
      <w:r w:rsidRPr="00777858">
        <w:rPr>
          <w:color w:val="000000"/>
        </w:rPr>
        <w:t>Pour le programme Horizon Europe les appels à projets sont publiés selon une fréquence irrégulière : il faut consulter les programmes de travail avec la présentation des calendrier</w:t>
      </w:r>
      <w:r w:rsidR="00B07F25">
        <w:rPr>
          <w:color w:val="000000"/>
        </w:rPr>
        <w:t>s</w:t>
      </w:r>
      <w:r w:rsidRPr="00777858">
        <w:rPr>
          <w:color w:val="000000"/>
        </w:rPr>
        <w:t xml:space="preserve"> d’appels à projet sur les deux années à venir. </w:t>
      </w:r>
      <w:r w:rsidRPr="00777858">
        <w:rPr>
          <w:b/>
          <w:bCs/>
          <w:color w:val="000000"/>
        </w:rPr>
        <w:t>Un sujet pourra ne faire l’objet que d’un seul appel sur toute la programmation 2021-2027</w:t>
      </w:r>
      <w:r w:rsidRPr="00777858">
        <w:rPr>
          <w:color w:val="000000"/>
        </w:rPr>
        <w:t xml:space="preserve"> (les thèmes et priorités ne sont pas récurrents, à la différence d’autres programmes comme LIFE, Interreg, etc.)</w:t>
      </w:r>
      <w:r w:rsidR="00B07F25">
        <w:rPr>
          <w:color w:val="000000"/>
        </w:rPr>
        <w:t>.</w:t>
      </w:r>
    </w:p>
    <w:p w14:paraId="2FD52954" w14:textId="77777777" w:rsidR="008541A1" w:rsidRPr="007110C5" w:rsidRDefault="008541A1" w:rsidP="008541A1">
      <w:pPr>
        <w:pBdr>
          <w:top w:val="nil"/>
          <w:left w:val="nil"/>
          <w:bottom w:val="nil"/>
          <w:right w:val="nil"/>
          <w:between w:val="nil"/>
        </w:pBdr>
        <w:tabs>
          <w:tab w:val="left" w:pos="1307"/>
        </w:tabs>
        <w:jc w:val="both"/>
      </w:pPr>
    </w:p>
    <w:p w14:paraId="1F9F5415" w14:textId="77777777" w:rsidR="008541A1" w:rsidRDefault="008541A1" w:rsidP="00777858">
      <w:pPr>
        <w:pStyle w:val="Paragraphedeliste"/>
        <w:numPr>
          <w:ilvl w:val="0"/>
          <w:numId w:val="31"/>
        </w:numPr>
        <w:pBdr>
          <w:top w:val="nil"/>
          <w:left w:val="nil"/>
          <w:bottom w:val="nil"/>
          <w:right w:val="nil"/>
          <w:between w:val="nil"/>
        </w:pBdr>
        <w:tabs>
          <w:tab w:val="left" w:pos="1307"/>
        </w:tabs>
        <w:jc w:val="both"/>
      </w:pPr>
      <w:r w:rsidRPr="00777858">
        <w:rPr>
          <w:b/>
          <w:bCs/>
          <w:color w:val="000000"/>
        </w:rPr>
        <w:t>En termes de sélectivité</w:t>
      </w:r>
      <w:r w:rsidRPr="00777858">
        <w:rPr>
          <w:color w:val="000000"/>
        </w:rPr>
        <w:t>, le programme Horizon 2020 était assez sélectif (une moyenne de 10 % de sélection, mais chaque pilier et chaque cluster dispose en fait de taux de sélectivité différents, avec une compétitivité accrue pour le 3</w:t>
      </w:r>
      <w:r w:rsidRPr="00777858">
        <w:rPr>
          <w:color w:val="000000"/>
          <w:vertAlign w:val="superscript"/>
        </w:rPr>
        <w:t>e</w:t>
      </w:r>
      <w:r w:rsidRPr="00777858">
        <w:rPr>
          <w:color w:val="000000"/>
        </w:rPr>
        <w:t xml:space="preserve"> pilier).</w:t>
      </w:r>
    </w:p>
    <w:p w14:paraId="3E6977EE" w14:textId="12337B3F" w:rsidR="008541A1" w:rsidRDefault="008541A1" w:rsidP="008541A1">
      <w:pPr>
        <w:pBdr>
          <w:top w:val="nil"/>
          <w:left w:val="nil"/>
          <w:bottom w:val="nil"/>
          <w:right w:val="nil"/>
          <w:between w:val="nil"/>
        </w:pBdr>
        <w:tabs>
          <w:tab w:val="left" w:pos="1307"/>
        </w:tabs>
        <w:jc w:val="both"/>
      </w:pPr>
    </w:p>
    <w:p w14:paraId="5C0BCABF" w14:textId="77777777" w:rsidR="00B74ED9" w:rsidRDefault="00B74ED9" w:rsidP="008541A1">
      <w:pPr>
        <w:pBdr>
          <w:top w:val="nil"/>
          <w:left w:val="nil"/>
          <w:bottom w:val="nil"/>
          <w:right w:val="nil"/>
          <w:between w:val="nil"/>
        </w:pBdr>
        <w:tabs>
          <w:tab w:val="left" w:pos="1307"/>
        </w:tabs>
        <w:jc w:val="both"/>
      </w:pPr>
    </w:p>
    <w:p w14:paraId="54E8AAEE" w14:textId="77777777" w:rsidR="008541A1" w:rsidRDefault="008541A1" w:rsidP="00777858">
      <w:pPr>
        <w:pStyle w:val="Paragraphedeliste"/>
        <w:numPr>
          <w:ilvl w:val="0"/>
          <w:numId w:val="31"/>
        </w:numPr>
        <w:pBdr>
          <w:top w:val="nil"/>
          <w:left w:val="nil"/>
          <w:bottom w:val="nil"/>
          <w:right w:val="nil"/>
          <w:between w:val="nil"/>
        </w:pBdr>
        <w:tabs>
          <w:tab w:val="left" w:pos="1307"/>
        </w:tabs>
        <w:jc w:val="both"/>
      </w:pPr>
      <w:r w:rsidRPr="00777858">
        <w:rPr>
          <w:b/>
          <w:bCs/>
        </w:rPr>
        <w:t>L’évaluation des projets</w:t>
      </w:r>
      <w:r>
        <w:t xml:space="preserve"> </w:t>
      </w:r>
    </w:p>
    <w:p w14:paraId="7CF24DCA" w14:textId="77777777" w:rsidR="008541A1" w:rsidRDefault="008541A1" w:rsidP="008541A1">
      <w:pPr>
        <w:pBdr>
          <w:top w:val="nil"/>
          <w:left w:val="nil"/>
          <w:bottom w:val="nil"/>
          <w:right w:val="nil"/>
          <w:between w:val="nil"/>
        </w:pBdr>
        <w:tabs>
          <w:tab w:val="left" w:pos="1307"/>
        </w:tabs>
        <w:jc w:val="both"/>
      </w:pPr>
    </w:p>
    <w:p w14:paraId="769F3CB5" w14:textId="099FC809" w:rsidR="008541A1" w:rsidRPr="005D76AF" w:rsidRDefault="008541A1" w:rsidP="008541A1">
      <w:pPr>
        <w:pBdr>
          <w:top w:val="nil"/>
          <w:left w:val="nil"/>
          <w:bottom w:val="nil"/>
          <w:right w:val="nil"/>
          <w:between w:val="nil"/>
        </w:pBdr>
        <w:tabs>
          <w:tab w:val="left" w:pos="1307"/>
        </w:tabs>
        <w:jc w:val="both"/>
      </w:pPr>
      <w:r w:rsidRPr="005D76AF">
        <w:t xml:space="preserve">Les propositions soumises sont évaluées sur la base de deux </w:t>
      </w:r>
      <w:r w:rsidRPr="005D76AF">
        <w:rPr>
          <w:b/>
          <w:bCs/>
        </w:rPr>
        <w:t xml:space="preserve">critères de sélection </w:t>
      </w:r>
      <w:r w:rsidRPr="005D76AF">
        <w:t xml:space="preserve">et de </w:t>
      </w:r>
      <w:r w:rsidRPr="005D76AF">
        <w:rPr>
          <w:b/>
          <w:bCs/>
        </w:rPr>
        <w:t>critères d'</w:t>
      </w:r>
      <w:r w:rsidR="00B07F25">
        <w:rPr>
          <w:b/>
          <w:bCs/>
        </w:rPr>
        <w:t>évaluation</w:t>
      </w:r>
      <w:r w:rsidRPr="005D76AF">
        <w:t xml:space="preserve">. </w:t>
      </w:r>
    </w:p>
    <w:p w14:paraId="55E8F58C" w14:textId="77777777" w:rsidR="008541A1" w:rsidRDefault="008541A1" w:rsidP="008541A1">
      <w:pPr>
        <w:pBdr>
          <w:top w:val="nil"/>
          <w:left w:val="nil"/>
          <w:bottom w:val="nil"/>
          <w:right w:val="nil"/>
          <w:between w:val="nil"/>
        </w:pBdr>
        <w:tabs>
          <w:tab w:val="left" w:pos="1307"/>
        </w:tabs>
        <w:jc w:val="both"/>
      </w:pPr>
    </w:p>
    <w:p w14:paraId="6520D732" w14:textId="77777777" w:rsidR="008541A1" w:rsidRPr="005D76AF" w:rsidRDefault="008541A1" w:rsidP="008541A1">
      <w:pPr>
        <w:pBdr>
          <w:top w:val="nil"/>
          <w:left w:val="nil"/>
          <w:bottom w:val="nil"/>
          <w:right w:val="nil"/>
          <w:between w:val="nil"/>
        </w:pBdr>
        <w:tabs>
          <w:tab w:val="left" w:pos="1307"/>
        </w:tabs>
        <w:jc w:val="both"/>
      </w:pPr>
      <w:r w:rsidRPr="005D76AF">
        <w:t xml:space="preserve">Les deux </w:t>
      </w:r>
      <w:r w:rsidRPr="005D76AF">
        <w:rPr>
          <w:b/>
          <w:bCs/>
        </w:rPr>
        <w:t xml:space="preserve">critères de sélection </w:t>
      </w:r>
      <w:r w:rsidRPr="005D76AF">
        <w:t xml:space="preserve">sont la capacité financière du coordinateur et la capacité opérationnelle des participants. </w:t>
      </w:r>
    </w:p>
    <w:p w14:paraId="37EC831D" w14:textId="77777777" w:rsidR="008541A1" w:rsidRPr="005D76AF" w:rsidRDefault="008541A1" w:rsidP="008541A1">
      <w:pPr>
        <w:pBdr>
          <w:top w:val="nil"/>
          <w:left w:val="nil"/>
          <w:bottom w:val="nil"/>
          <w:right w:val="nil"/>
          <w:between w:val="nil"/>
        </w:pBdr>
        <w:tabs>
          <w:tab w:val="left" w:pos="1307"/>
        </w:tabs>
        <w:jc w:val="both"/>
      </w:pPr>
      <w:r w:rsidRPr="005D76AF">
        <w:t xml:space="preserve">Pour jauger la capacité opérationnelle des participants, les évaluateurs s’appuieront sur les documents suivants : </w:t>
      </w:r>
    </w:p>
    <w:p w14:paraId="076EC33C" w14:textId="77777777" w:rsidR="008541A1" w:rsidRDefault="008541A1" w:rsidP="008541A1">
      <w:pPr>
        <w:pStyle w:val="Paragraphedeliste"/>
        <w:numPr>
          <w:ilvl w:val="0"/>
          <w:numId w:val="23"/>
        </w:numPr>
        <w:pBdr>
          <w:top w:val="nil"/>
          <w:left w:val="nil"/>
          <w:bottom w:val="nil"/>
          <w:right w:val="nil"/>
          <w:between w:val="nil"/>
        </w:pBdr>
        <w:tabs>
          <w:tab w:val="left" w:pos="1307"/>
        </w:tabs>
        <w:jc w:val="both"/>
      </w:pPr>
      <w:r>
        <w:t>U</w:t>
      </w:r>
      <w:r w:rsidRPr="005D76AF">
        <w:t xml:space="preserve">n curriculum vitae ou une description du profil des principales personnes responsables de la mise en œuvre des activités de recherche et/ou d’innovation ; </w:t>
      </w:r>
    </w:p>
    <w:p w14:paraId="3F448427" w14:textId="49CF299E" w:rsidR="008541A1" w:rsidRDefault="008541A1" w:rsidP="008541A1">
      <w:pPr>
        <w:pStyle w:val="Paragraphedeliste"/>
        <w:numPr>
          <w:ilvl w:val="0"/>
          <w:numId w:val="23"/>
        </w:numPr>
        <w:pBdr>
          <w:top w:val="nil"/>
          <w:left w:val="nil"/>
          <w:bottom w:val="nil"/>
          <w:right w:val="nil"/>
          <w:between w:val="nil"/>
        </w:pBdr>
        <w:tabs>
          <w:tab w:val="left" w:pos="1307"/>
        </w:tabs>
        <w:jc w:val="both"/>
      </w:pPr>
      <w:r w:rsidRPr="005D76AF">
        <w:t>Une liste de publications, produits et/ou services (5 maximum), ou tout autre accomplissement en lien avec le texte de l’appel à projet</w:t>
      </w:r>
      <w:r w:rsidR="00B07F25">
        <w:t>s</w:t>
      </w:r>
      <w:r w:rsidRPr="005D76AF">
        <w:t xml:space="preserve"> ; </w:t>
      </w:r>
    </w:p>
    <w:p w14:paraId="428E9E37" w14:textId="77777777" w:rsidR="008541A1" w:rsidRDefault="008541A1" w:rsidP="008541A1">
      <w:pPr>
        <w:pStyle w:val="Paragraphedeliste"/>
        <w:numPr>
          <w:ilvl w:val="0"/>
          <w:numId w:val="23"/>
        </w:numPr>
        <w:pBdr>
          <w:top w:val="nil"/>
          <w:left w:val="nil"/>
          <w:bottom w:val="nil"/>
          <w:right w:val="nil"/>
          <w:between w:val="nil"/>
        </w:pBdr>
        <w:tabs>
          <w:tab w:val="left" w:pos="1307"/>
        </w:tabs>
        <w:jc w:val="both"/>
      </w:pPr>
      <w:r w:rsidRPr="005D76AF">
        <w:t xml:space="preserve">Une liste des projets et/ou activités en lien avec le sujet de la proposition (5 maximum) ; </w:t>
      </w:r>
    </w:p>
    <w:p w14:paraId="745879D8" w14:textId="41D83636" w:rsidR="008541A1" w:rsidRDefault="008541A1" w:rsidP="008541A1">
      <w:pPr>
        <w:pStyle w:val="Paragraphedeliste"/>
        <w:numPr>
          <w:ilvl w:val="0"/>
          <w:numId w:val="23"/>
        </w:numPr>
        <w:pBdr>
          <w:top w:val="nil"/>
          <w:left w:val="nil"/>
          <w:bottom w:val="nil"/>
          <w:right w:val="nil"/>
          <w:between w:val="nil"/>
        </w:pBdr>
        <w:tabs>
          <w:tab w:val="left" w:pos="1307"/>
        </w:tabs>
        <w:jc w:val="both"/>
      </w:pPr>
      <w:r w:rsidRPr="005D76AF">
        <w:t>Une description de toute infrastructure ou équipement technique important en lien avec les activités</w:t>
      </w:r>
      <w:r w:rsidR="00B07F25">
        <w:t> ;</w:t>
      </w:r>
    </w:p>
    <w:p w14:paraId="014759D2" w14:textId="77777777" w:rsidR="008541A1" w:rsidRPr="005D76AF" w:rsidRDefault="008541A1" w:rsidP="008541A1">
      <w:pPr>
        <w:pStyle w:val="Paragraphedeliste"/>
        <w:numPr>
          <w:ilvl w:val="0"/>
          <w:numId w:val="23"/>
        </w:numPr>
        <w:pBdr>
          <w:top w:val="nil"/>
          <w:left w:val="nil"/>
          <w:bottom w:val="nil"/>
          <w:right w:val="nil"/>
          <w:between w:val="nil"/>
        </w:pBdr>
        <w:tabs>
          <w:tab w:val="left" w:pos="1307"/>
        </w:tabs>
        <w:jc w:val="both"/>
      </w:pPr>
      <w:r w:rsidRPr="005D76AF">
        <w:t xml:space="preserve">Une description des parties tierces qui ne seront pas partenaires dans le projet, mais contribueront à la mise en œuvre de l’action (consulter les fiches sur les parties tierces). </w:t>
      </w:r>
    </w:p>
    <w:p w14:paraId="294D74A1" w14:textId="77777777" w:rsidR="008541A1" w:rsidRPr="005D76AF" w:rsidRDefault="008541A1" w:rsidP="008541A1">
      <w:pPr>
        <w:pBdr>
          <w:top w:val="nil"/>
          <w:left w:val="nil"/>
          <w:bottom w:val="nil"/>
          <w:right w:val="nil"/>
          <w:between w:val="nil"/>
        </w:pBdr>
        <w:tabs>
          <w:tab w:val="left" w:pos="1307"/>
        </w:tabs>
        <w:jc w:val="both"/>
      </w:pPr>
    </w:p>
    <w:p w14:paraId="1B8005D4" w14:textId="77777777" w:rsidR="008541A1" w:rsidRDefault="008541A1" w:rsidP="008541A1">
      <w:pPr>
        <w:pBdr>
          <w:top w:val="nil"/>
          <w:left w:val="nil"/>
          <w:bottom w:val="nil"/>
          <w:right w:val="nil"/>
          <w:between w:val="nil"/>
        </w:pBdr>
        <w:tabs>
          <w:tab w:val="left" w:pos="1307"/>
        </w:tabs>
        <w:jc w:val="both"/>
      </w:pPr>
      <w:r w:rsidRPr="005D76AF">
        <w:t xml:space="preserve">Les </w:t>
      </w:r>
      <w:r w:rsidRPr="005D76AF">
        <w:rPr>
          <w:b/>
          <w:bCs/>
        </w:rPr>
        <w:t>critères d’</w:t>
      </w:r>
      <w:r>
        <w:rPr>
          <w:b/>
          <w:bCs/>
        </w:rPr>
        <w:t>évaluation</w:t>
      </w:r>
      <w:r w:rsidRPr="005D76AF">
        <w:rPr>
          <w:b/>
          <w:bCs/>
        </w:rPr>
        <w:t xml:space="preserve"> </w:t>
      </w:r>
      <w:r w:rsidRPr="005D76AF">
        <w:t>sont : l’excellence ; l’impact ; la qualité et l’efficacité de la mise en œuvre.</w:t>
      </w:r>
    </w:p>
    <w:p w14:paraId="6E445ABA" w14:textId="77777777" w:rsidR="008541A1" w:rsidRDefault="008541A1" w:rsidP="008541A1">
      <w:pPr>
        <w:numPr>
          <w:ilvl w:val="1"/>
          <w:numId w:val="1"/>
        </w:numPr>
        <w:pBdr>
          <w:top w:val="nil"/>
          <w:left w:val="nil"/>
          <w:bottom w:val="nil"/>
          <w:right w:val="nil"/>
          <w:between w:val="nil"/>
        </w:pBdr>
        <w:tabs>
          <w:tab w:val="left" w:pos="1307"/>
        </w:tabs>
        <w:jc w:val="both"/>
      </w:pPr>
      <w:r>
        <w:t>Impact (50% de la notation)</w:t>
      </w:r>
    </w:p>
    <w:p w14:paraId="4F597F27" w14:textId="77777777" w:rsidR="008541A1" w:rsidRDefault="008541A1" w:rsidP="008541A1">
      <w:pPr>
        <w:numPr>
          <w:ilvl w:val="2"/>
          <w:numId w:val="1"/>
        </w:numPr>
        <w:pBdr>
          <w:top w:val="nil"/>
          <w:left w:val="nil"/>
          <w:bottom w:val="nil"/>
          <w:right w:val="nil"/>
          <w:between w:val="nil"/>
        </w:pBdr>
        <w:tabs>
          <w:tab w:val="left" w:pos="1307"/>
        </w:tabs>
        <w:jc w:val="both"/>
      </w:pPr>
      <w:r>
        <w:t>Améliorer la capacité d'innovation et l'intégration de nouvelles connaissances ;</w:t>
      </w:r>
    </w:p>
    <w:p w14:paraId="376FDADA" w14:textId="77777777" w:rsidR="008541A1" w:rsidRDefault="008541A1" w:rsidP="008541A1">
      <w:pPr>
        <w:numPr>
          <w:ilvl w:val="2"/>
          <w:numId w:val="1"/>
        </w:numPr>
        <w:pBdr>
          <w:top w:val="nil"/>
          <w:left w:val="nil"/>
          <w:bottom w:val="nil"/>
          <w:right w:val="nil"/>
          <w:between w:val="nil"/>
        </w:pBdr>
        <w:tabs>
          <w:tab w:val="left" w:pos="1307"/>
        </w:tabs>
        <w:jc w:val="both"/>
      </w:pPr>
      <w:r>
        <w:t>Renforcer la compétitivité et la croissance des entreprises en développant des innovations répondant aux besoins des marchés européens et mondiaux et, le cas échéant, en proposant ces innovations aux marchés ;</w:t>
      </w:r>
    </w:p>
    <w:p w14:paraId="592BB54F" w14:textId="77777777" w:rsidR="008541A1" w:rsidRDefault="008541A1" w:rsidP="008541A1">
      <w:pPr>
        <w:numPr>
          <w:ilvl w:val="2"/>
          <w:numId w:val="1"/>
        </w:numPr>
        <w:pBdr>
          <w:top w:val="nil"/>
          <w:left w:val="nil"/>
          <w:bottom w:val="nil"/>
          <w:right w:val="nil"/>
          <w:between w:val="nil"/>
        </w:pBdr>
        <w:tabs>
          <w:tab w:val="left" w:pos="1307"/>
        </w:tabs>
        <w:jc w:val="both"/>
      </w:pPr>
      <w:r>
        <w:t xml:space="preserve">Tout autre impact environnemental et social important ; </w:t>
      </w:r>
    </w:p>
    <w:p w14:paraId="7CD788EA" w14:textId="51C9A815" w:rsidR="008541A1" w:rsidRDefault="008541A1" w:rsidP="008541A1">
      <w:pPr>
        <w:numPr>
          <w:ilvl w:val="2"/>
          <w:numId w:val="1"/>
        </w:numPr>
        <w:pBdr>
          <w:top w:val="nil"/>
          <w:left w:val="nil"/>
          <w:bottom w:val="nil"/>
          <w:right w:val="nil"/>
          <w:between w:val="nil"/>
        </w:pBdr>
        <w:tabs>
          <w:tab w:val="left" w:pos="1307"/>
        </w:tabs>
        <w:jc w:val="both"/>
      </w:pPr>
      <w:r>
        <w:t xml:space="preserve">Efficacité des mesures proposées pour exploiter et diffuser les résultats du projet (y compris la gestion </w:t>
      </w:r>
      <w:r w:rsidR="00B07F25">
        <w:t>de la propriété intellectuelle</w:t>
      </w:r>
      <w:r>
        <w:t>), pour communiquer sur le projet et pour gérer les données de recherche le cas échéant.</w:t>
      </w:r>
    </w:p>
    <w:p w14:paraId="73AC6474" w14:textId="77777777" w:rsidR="008541A1" w:rsidRDefault="008541A1" w:rsidP="008541A1">
      <w:pPr>
        <w:numPr>
          <w:ilvl w:val="1"/>
          <w:numId w:val="1"/>
        </w:numPr>
        <w:pBdr>
          <w:top w:val="nil"/>
          <w:left w:val="nil"/>
          <w:bottom w:val="nil"/>
          <w:right w:val="nil"/>
          <w:between w:val="nil"/>
        </w:pBdr>
        <w:tabs>
          <w:tab w:val="left" w:pos="1307"/>
        </w:tabs>
        <w:jc w:val="both"/>
      </w:pPr>
      <w:r>
        <w:t>Excellence (25%)</w:t>
      </w:r>
    </w:p>
    <w:p w14:paraId="3796A243" w14:textId="77777777" w:rsidR="008541A1" w:rsidRDefault="008541A1" w:rsidP="008541A1">
      <w:pPr>
        <w:numPr>
          <w:ilvl w:val="2"/>
          <w:numId w:val="1"/>
        </w:numPr>
        <w:pBdr>
          <w:top w:val="nil"/>
          <w:left w:val="nil"/>
          <w:bottom w:val="nil"/>
          <w:right w:val="nil"/>
          <w:between w:val="nil"/>
        </w:pBdr>
        <w:tabs>
          <w:tab w:val="left" w:pos="1307"/>
        </w:tabs>
        <w:jc w:val="both"/>
      </w:pPr>
      <w:r w:rsidRPr="005D76AF">
        <w:t>Solidité du</w:t>
      </w:r>
      <w:r>
        <w:t xml:space="preserve"> </w:t>
      </w:r>
      <w:r w:rsidRPr="005D76AF">
        <w:t>concept, y compris</w:t>
      </w:r>
      <w:r>
        <w:t xml:space="preserve"> considérations </w:t>
      </w:r>
      <w:r w:rsidRPr="005D76AF">
        <w:t>transdisciplinaire</w:t>
      </w:r>
      <w:r>
        <w:t xml:space="preserve">s </w:t>
      </w:r>
      <w:r w:rsidRPr="005D76AF">
        <w:t>considérations</w:t>
      </w:r>
      <w:r>
        <w:t xml:space="preserve">. </w:t>
      </w:r>
    </w:p>
    <w:p w14:paraId="28DBC260" w14:textId="1A9D375D" w:rsidR="008541A1" w:rsidRDefault="008541A1" w:rsidP="008541A1">
      <w:pPr>
        <w:numPr>
          <w:ilvl w:val="2"/>
          <w:numId w:val="1"/>
        </w:numPr>
        <w:pBdr>
          <w:top w:val="nil"/>
          <w:left w:val="nil"/>
          <w:bottom w:val="nil"/>
          <w:right w:val="nil"/>
          <w:between w:val="nil"/>
        </w:pBdr>
        <w:tabs>
          <w:tab w:val="left" w:pos="1307"/>
        </w:tabs>
        <w:jc w:val="both"/>
      </w:pPr>
      <w:r>
        <w:t>Le projet proposé</w:t>
      </w:r>
      <w:r w:rsidRPr="005D76AF">
        <w:t xml:space="preserve"> est ambitieux, a</w:t>
      </w:r>
      <w:r>
        <w:t xml:space="preserve"> un fort </w:t>
      </w:r>
      <w:r w:rsidRPr="005D76AF">
        <w:t>potentiel d'innovatio</w:t>
      </w:r>
      <w:r>
        <w:t>n et va</w:t>
      </w:r>
      <w:r w:rsidRPr="005D76AF">
        <w:t xml:space="preserve"> au-delà de l'état</w:t>
      </w:r>
      <w:r>
        <w:t xml:space="preserve"> </w:t>
      </w:r>
      <w:r w:rsidRPr="005D76AF">
        <w:t>de l'art (par exemple, des objectifs révolutionnaires</w:t>
      </w:r>
      <w:r>
        <w:t>/de rupture</w:t>
      </w:r>
      <w:r w:rsidRPr="005D76AF">
        <w:t>,</w:t>
      </w:r>
      <w:r>
        <w:t xml:space="preserve"> </w:t>
      </w:r>
      <w:r w:rsidRPr="005D76AF">
        <w:t>de nouveaux concepts e</w:t>
      </w:r>
      <w:r>
        <w:t xml:space="preserve">t </w:t>
      </w:r>
      <w:r w:rsidRPr="005D76AF">
        <w:t>approches)</w:t>
      </w:r>
      <w:r w:rsidR="00B07F25">
        <w:t>.</w:t>
      </w:r>
    </w:p>
    <w:p w14:paraId="11BCB525" w14:textId="77777777" w:rsidR="008541A1" w:rsidRDefault="008541A1" w:rsidP="008541A1">
      <w:pPr>
        <w:numPr>
          <w:ilvl w:val="1"/>
          <w:numId w:val="1"/>
        </w:numPr>
        <w:pBdr>
          <w:top w:val="nil"/>
          <w:left w:val="nil"/>
          <w:bottom w:val="nil"/>
          <w:right w:val="nil"/>
          <w:between w:val="nil"/>
        </w:pBdr>
        <w:tabs>
          <w:tab w:val="left" w:pos="1307"/>
        </w:tabs>
        <w:jc w:val="both"/>
      </w:pPr>
      <w:r>
        <w:t>Qualité de mise en œuvre (25%)</w:t>
      </w:r>
    </w:p>
    <w:p w14:paraId="0F7DFEDF" w14:textId="77777777" w:rsidR="008541A1" w:rsidRDefault="008541A1" w:rsidP="008541A1">
      <w:pPr>
        <w:numPr>
          <w:ilvl w:val="2"/>
          <w:numId w:val="1"/>
        </w:numPr>
        <w:pBdr>
          <w:top w:val="nil"/>
          <w:left w:val="nil"/>
          <w:bottom w:val="nil"/>
          <w:right w:val="nil"/>
          <w:between w:val="nil"/>
        </w:pBdr>
        <w:tabs>
          <w:tab w:val="left" w:pos="1307"/>
        </w:tabs>
        <w:jc w:val="both"/>
      </w:pPr>
      <w:r>
        <w:t>Cohérence et efficacité du plan d’action, y compris l'adéquation de la répartition des tâches et des ressources ;</w:t>
      </w:r>
    </w:p>
    <w:p w14:paraId="6FA76DDA" w14:textId="1FEAA030" w:rsidR="008541A1" w:rsidRDefault="008541A1" w:rsidP="008541A1">
      <w:pPr>
        <w:numPr>
          <w:ilvl w:val="2"/>
          <w:numId w:val="1"/>
        </w:numPr>
        <w:pBdr>
          <w:top w:val="nil"/>
          <w:left w:val="nil"/>
          <w:bottom w:val="nil"/>
          <w:right w:val="nil"/>
          <w:between w:val="nil"/>
        </w:pBdr>
        <w:tabs>
          <w:tab w:val="left" w:pos="1307"/>
        </w:tabs>
        <w:jc w:val="both"/>
      </w:pPr>
      <w:r>
        <w:t>Complémentarité des participants au sein du consortium (le cas échéant)</w:t>
      </w:r>
      <w:r w:rsidR="00B07F25">
        <w:t xml:space="preserve"> </w:t>
      </w:r>
      <w:r>
        <w:t>;</w:t>
      </w:r>
    </w:p>
    <w:p w14:paraId="052E30EC" w14:textId="77777777" w:rsidR="008541A1" w:rsidRDefault="008541A1" w:rsidP="008541A1">
      <w:pPr>
        <w:numPr>
          <w:ilvl w:val="2"/>
          <w:numId w:val="1"/>
        </w:numPr>
        <w:pBdr>
          <w:top w:val="nil"/>
          <w:left w:val="nil"/>
          <w:bottom w:val="nil"/>
          <w:right w:val="nil"/>
          <w:between w:val="nil"/>
        </w:pBdr>
        <w:tabs>
          <w:tab w:val="left" w:pos="1307"/>
        </w:tabs>
        <w:jc w:val="both"/>
      </w:pPr>
      <w:r>
        <w:t>Adéquation des structures et des procédures de gestion, y compris pour la gestion des risques et de l'innovation.</w:t>
      </w:r>
    </w:p>
    <w:p w14:paraId="5817706D" w14:textId="77777777" w:rsidR="008541A1" w:rsidRDefault="008541A1" w:rsidP="008541A1">
      <w:pPr>
        <w:pBdr>
          <w:top w:val="nil"/>
          <w:left w:val="nil"/>
          <w:bottom w:val="nil"/>
          <w:right w:val="nil"/>
          <w:between w:val="nil"/>
        </w:pBdr>
        <w:tabs>
          <w:tab w:val="left" w:pos="1307"/>
        </w:tabs>
        <w:jc w:val="both"/>
      </w:pPr>
    </w:p>
    <w:p w14:paraId="560063EB" w14:textId="40420AEA" w:rsidR="008541A1" w:rsidRPr="007765E3" w:rsidRDefault="008541A1" w:rsidP="008541A1">
      <w:pPr>
        <w:pBdr>
          <w:top w:val="nil"/>
          <w:left w:val="nil"/>
          <w:bottom w:val="nil"/>
          <w:right w:val="nil"/>
          <w:between w:val="nil"/>
        </w:pBdr>
        <w:tabs>
          <w:tab w:val="left" w:pos="1307"/>
        </w:tabs>
        <w:jc w:val="both"/>
      </w:pPr>
      <w:r>
        <w:t>Ces critères sont les critères généraux d’Horizon Europe. Selon les appels à projets d’autres critères et d’autres pondérations peuvent s’appliquer.</w:t>
      </w:r>
    </w:p>
    <w:p w14:paraId="6806220F" w14:textId="77777777" w:rsidR="008541A1" w:rsidRPr="007765E3" w:rsidRDefault="008541A1" w:rsidP="008541A1">
      <w:pPr>
        <w:pBdr>
          <w:top w:val="nil"/>
          <w:left w:val="nil"/>
          <w:bottom w:val="nil"/>
          <w:right w:val="nil"/>
          <w:between w:val="nil"/>
        </w:pBdr>
        <w:tabs>
          <w:tab w:val="left" w:pos="1307"/>
        </w:tabs>
        <w:jc w:val="both"/>
      </w:pPr>
    </w:p>
    <w:p w14:paraId="4E5584AC" w14:textId="77777777" w:rsidR="008541A1" w:rsidRDefault="008541A1" w:rsidP="00777858">
      <w:pPr>
        <w:pStyle w:val="Paragraphedeliste"/>
        <w:numPr>
          <w:ilvl w:val="0"/>
          <w:numId w:val="32"/>
        </w:numPr>
        <w:pBdr>
          <w:top w:val="nil"/>
          <w:left w:val="nil"/>
          <w:bottom w:val="nil"/>
          <w:right w:val="nil"/>
          <w:between w:val="nil"/>
        </w:pBdr>
        <w:tabs>
          <w:tab w:val="left" w:pos="1307"/>
        </w:tabs>
        <w:jc w:val="both"/>
      </w:pPr>
      <w:r w:rsidRPr="00777858">
        <w:rPr>
          <w:b/>
          <w:bCs/>
        </w:rPr>
        <w:t>Reporting</w:t>
      </w:r>
      <w:r>
        <w:t> :</w:t>
      </w:r>
    </w:p>
    <w:p w14:paraId="41CF918D" w14:textId="77777777" w:rsidR="008541A1" w:rsidRDefault="008541A1" w:rsidP="008541A1">
      <w:pPr>
        <w:pBdr>
          <w:top w:val="nil"/>
          <w:left w:val="nil"/>
          <w:bottom w:val="nil"/>
          <w:right w:val="nil"/>
          <w:between w:val="nil"/>
        </w:pBdr>
        <w:tabs>
          <w:tab w:val="left" w:pos="1307"/>
        </w:tabs>
        <w:jc w:val="both"/>
      </w:pPr>
    </w:p>
    <w:p w14:paraId="530FAA9C" w14:textId="77777777" w:rsidR="008541A1" w:rsidRDefault="008541A1" w:rsidP="008541A1">
      <w:pPr>
        <w:pBdr>
          <w:top w:val="nil"/>
          <w:left w:val="nil"/>
          <w:bottom w:val="nil"/>
          <w:right w:val="nil"/>
          <w:between w:val="nil"/>
        </w:pBdr>
        <w:tabs>
          <w:tab w:val="left" w:pos="1307"/>
        </w:tabs>
        <w:jc w:val="both"/>
      </w:pPr>
      <w:r>
        <w:t>Le programme Horizon Europe demande plusieurs types de reporting :</w:t>
      </w:r>
    </w:p>
    <w:p w14:paraId="1B10FB17" w14:textId="77777777" w:rsidR="008541A1" w:rsidRDefault="008541A1" w:rsidP="008541A1">
      <w:pPr>
        <w:pStyle w:val="Paragraphedeliste"/>
        <w:numPr>
          <w:ilvl w:val="0"/>
          <w:numId w:val="24"/>
        </w:numPr>
        <w:pBdr>
          <w:top w:val="nil"/>
          <w:left w:val="nil"/>
          <w:bottom w:val="nil"/>
          <w:right w:val="nil"/>
          <w:between w:val="nil"/>
        </w:pBdr>
        <w:tabs>
          <w:tab w:val="left" w:pos="1307"/>
        </w:tabs>
        <w:jc w:val="both"/>
      </w:pPr>
      <w:r w:rsidRPr="0075699C">
        <w:t>Un reporting continu, en ligne (</w:t>
      </w:r>
      <w:r>
        <w:t>livrables, jalons, productions, etc.)</w:t>
      </w:r>
    </w:p>
    <w:p w14:paraId="757D61B7" w14:textId="77777777" w:rsidR="008541A1" w:rsidRDefault="008541A1" w:rsidP="008541A1">
      <w:pPr>
        <w:pStyle w:val="Paragraphedeliste"/>
        <w:numPr>
          <w:ilvl w:val="0"/>
          <w:numId w:val="24"/>
        </w:numPr>
        <w:pBdr>
          <w:top w:val="nil"/>
          <w:left w:val="nil"/>
          <w:bottom w:val="nil"/>
          <w:right w:val="nil"/>
          <w:between w:val="nil"/>
        </w:pBdr>
        <w:tabs>
          <w:tab w:val="left" w:pos="1307"/>
        </w:tabs>
        <w:jc w:val="both"/>
      </w:pPr>
      <w:r>
        <w:t>Des rapports techniques et financiers pour chaque « période de reporting » (définies dans la Convention de subvention)</w:t>
      </w:r>
    </w:p>
    <w:p w14:paraId="661AAACE" w14:textId="57D8492E" w:rsidR="008541A1" w:rsidRDefault="008541A1" w:rsidP="008541A1">
      <w:pPr>
        <w:pStyle w:val="Paragraphedeliste"/>
        <w:numPr>
          <w:ilvl w:val="0"/>
          <w:numId w:val="24"/>
        </w:numPr>
        <w:pBdr>
          <w:top w:val="nil"/>
          <w:left w:val="nil"/>
          <w:bottom w:val="nil"/>
          <w:right w:val="nil"/>
          <w:between w:val="nil"/>
        </w:pBdr>
        <w:tabs>
          <w:tab w:val="left" w:pos="1307"/>
        </w:tabs>
        <w:jc w:val="both"/>
      </w:pPr>
      <w:r>
        <w:t>Un rapport technique et financier final, à la fin du projet</w:t>
      </w:r>
      <w:r w:rsidR="00B07F25">
        <w:t>.</w:t>
      </w:r>
    </w:p>
    <w:p w14:paraId="28178E75" w14:textId="77777777" w:rsidR="008541A1" w:rsidRDefault="008541A1" w:rsidP="008541A1">
      <w:pPr>
        <w:pBdr>
          <w:top w:val="nil"/>
          <w:left w:val="nil"/>
          <w:bottom w:val="nil"/>
          <w:right w:val="nil"/>
          <w:between w:val="nil"/>
        </w:pBdr>
        <w:tabs>
          <w:tab w:val="left" w:pos="1307"/>
        </w:tabs>
        <w:jc w:val="both"/>
      </w:pPr>
    </w:p>
    <w:p w14:paraId="2AC0EE61" w14:textId="77777777" w:rsidR="008541A1" w:rsidRPr="0075699C" w:rsidRDefault="008541A1" w:rsidP="008541A1">
      <w:pPr>
        <w:pBdr>
          <w:top w:val="nil"/>
          <w:left w:val="nil"/>
          <w:bottom w:val="nil"/>
          <w:right w:val="nil"/>
          <w:between w:val="nil"/>
        </w:pBdr>
        <w:tabs>
          <w:tab w:val="left" w:pos="1307"/>
        </w:tabs>
        <w:jc w:val="both"/>
      </w:pPr>
      <w:r>
        <w:t xml:space="preserve">Les paiements intermédiaires sont liés à ces rapports. Un premier préfinancement est possible au démarrage du projet, suivi d’un ou deux paiements intermédiaires, sur base des rapports financiers envoyés. Lorsque la Commission européenne approuve les coûts éligibles déclarés sur la période en question, le paiement intermédiaire est versé au coordinateur dans les 90 jours à compter de la date de réception du rapport. Le montant dépend de ce qui est fixé par le </w:t>
      </w:r>
      <w:r w:rsidRPr="00777858">
        <w:rPr>
          <w:i/>
          <w:iCs/>
        </w:rPr>
        <w:t>Grant Agreement</w:t>
      </w:r>
      <w:r>
        <w:t xml:space="preserve"> (ou « Convention de subvention »), avec une limite : </w:t>
      </w:r>
      <w:r w:rsidRPr="002658F9">
        <w:rPr>
          <w:b/>
          <w:bCs/>
        </w:rPr>
        <w:t>le montant total du préfinancement et des paiements intermédiaires ne doit pas dépasser 90% du montant maximum de la subvention</w:t>
      </w:r>
      <w:r>
        <w:t xml:space="preserve"> tel qu’indiqué à l’article 5.1 de la convention de subvention.</w:t>
      </w:r>
    </w:p>
    <w:p w14:paraId="4685CAD7" w14:textId="77777777" w:rsidR="008541A1" w:rsidRPr="0075699C" w:rsidRDefault="008541A1" w:rsidP="008541A1">
      <w:pPr>
        <w:pBdr>
          <w:top w:val="nil"/>
          <w:left w:val="nil"/>
          <w:bottom w:val="nil"/>
          <w:right w:val="nil"/>
          <w:between w:val="nil"/>
        </w:pBdr>
        <w:tabs>
          <w:tab w:val="left" w:pos="1307"/>
        </w:tabs>
        <w:jc w:val="both"/>
      </w:pPr>
    </w:p>
    <w:p w14:paraId="15C37E83" w14:textId="2D265C00" w:rsidR="008541A1" w:rsidRPr="008D3448" w:rsidRDefault="001603DD" w:rsidP="00777858">
      <w:pPr>
        <w:pStyle w:val="Paragraphedeliste"/>
        <w:numPr>
          <w:ilvl w:val="0"/>
          <w:numId w:val="32"/>
        </w:numPr>
        <w:pBdr>
          <w:top w:val="nil"/>
          <w:left w:val="nil"/>
          <w:bottom w:val="nil"/>
          <w:right w:val="nil"/>
          <w:between w:val="nil"/>
        </w:pBdr>
        <w:tabs>
          <w:tab w:val="left" w:pos="1307"/>
        </w:tabs>
        <w:ind w:left="426"/>
        <w:jc w:val="both"/>
      </w:pPr>
      <w:r w:rsidRPr="00877C03">
        <w:rPr>
          <w:b/>
          <w:bCs/>
          <w:color w:val="000000"/>
        </w:rPr>
        <w:t>Un exemple de Grant Agreement/Convention de subvention</w:t>
      </w:r>
      <w:r w:rsidRPr="00DD2E80">
        <w:rPr>
          <w:color w:val="000000"/>
        </w:rPr>
        <w:t xml:space="preserve"> peut être trouvé </w:t>
      </w:r>
      <w:hyperlink r:id="rId14" w:history="1">
        <w:r w:rsidRPr="00CB413C">
          <w:rPr>
            <w:rStyle w:val="Lienhypertexte"/>
          </w:rPr>
          <w:t>ici</w:t>
        </w:r>
      </w:hyperlink>
      <w:r>
        <w:rPr>
          <w:rStyle w:val="Appelnotedebasdep"/>
          <w:color w:val="0000FF" w:themeColor="hyperlink"/>
          <w:sz w:val="16"/>
          <w:szCs w:val="16"/>
          <w:u w:val="single"/>
        </w:rPr>
        <w:footnoteReference w:id="4"/>
      </w:r>
      <w:r w:rsidRPr="00DD2E80">
        <w:rPr>
          <w:color w:val="000000"/>
        </w:rPr>
        <w:t>.</w:t>
      </w:r>
      <w:r w:rsidR="008541A1" w:rsidRPr="00B07F25">
        <w:rPr>
          <w:color w:val="000000"/>
        </w:rPr>
        <w:t xml:space="preserve"> Le plateforme Funding&amp;Tenders regroupe tous les documents administratifs utiles pour ce programme, notamment via la page « </w:t>
      </w:r>
      <w:hyperlink r:id="rId15" w:history="1">
        <w:r w:rsidR="008541A1" w:rsidRPr="00CB413C">
          <w:rPr>
            <w:rStyle w:val="Lienhypertexte"/>
          </w:rPr>
          <w:t>Reference documents </w:t>
        </w:r>
      </w:hyperlink>
      <w:r w:rsidR="008541A1" w:rsidRPr="00B07F25">
        <w:rPr>
          <w:color w:val="000000"/>
        </w:rPr>
        <w:t>».</w:t>
      </w:r>
    </w:p>
    <w:p w14:paraId="07D92A5B" w14:textId="77777777" w:rsidR="008541A1" w:rsidRDefault="008541A1" w:rsidP="008541A1">
      <w:pPr>
        <w:pBdr>
          <w:top w:val="nil"/>
          <w:left w:val="nil"/>
          <w:bottom w:val="nil"/>
          <w:right w:val="nil"/>
          <w:between w:val="nil"/>
        </w:pBdr>
        <w:tabs>
          <w:tab w:val="left" w:pos="1307"/>
        </w:tabs>
        <w:jc w:val="both"/>
      </w:pPr>
    </w:p>
    <w:p w14:paraId="313A9277" w14:textId="77777777" w:rsidR="008541A1" w:rsidRDefault="008541A1" w:rsidP="00777858">
      <w:pPr>
        <w:pStyle w:val="Paragraphedeliste"/>
        <w:numPr>
          <w:ilvl w:val="0"/>
          <w:numId w:val="32"/>
        </w:numPr>
        <w:pBdr>
          <w:top w:val="nil"/>
          <w:left w:val="nil"/>
          <w:bottom w:val="nil"/>
          <w:right w:val="nil"/>
          <w:between w:val="nil"/>
        </w:pBdr>
        <w:tabs>
          <w:tab w:val="left" w:pos="1307"/>
        </w:tabs>
        <w:jc w:val="both"/>
      </w:pPr>
      <w:r w:rsidRPr="00777858">
        <w:rPr>
          <w:b/>
          <w:bCs/>
        </w:rPr>
        <w:t>Trois types d’audit</w:t>
      </w:r>
      <w:r>
        <w:t xml:space="preserve"> sont possibles dans le programme Horizon Europe, pour plus d’information sur chaque type d’audit voir </w:t>
      </w:r>
      <w:hyperlink r:id="rId16" w:history="1">
        <w:r w:rsidRPr="008D3448">
          <w:rPr>
            <w:rStyle w:val="Lienhypertexte"/>
          </w:rPr>
          <w:t>cette fiche</w:t>
        </w:r>
      </w:hyperlink>
      <w:r>
        <w:t>.</w:t>
      </w:r>
    </w:p>
    <w:p w14:paraId="2F11BBEB" w14:textId="77777777" w:rsidR="008541A1" w:rsidRPr="008D3448" w:rsidRDefault="008541A1" w:rsidP="008541A1">
      <w:pPr>
        <w:pBdr>
          <w:top w:val="nil"/>
          <w:left w:val="nil"/>
          <w:bottom w:val="nil"/>
          <w:right w:val="nil"/>
          <w:between w:val="nil"/>
        </w:pBdr>
        <w:tabs>
          <w:tab w:val="left" w:pos="1307"/>
        </w:tabs>
        <w:jc w:val="both"/>
      </w:pPr>
    </w:p>
    <w:p w14:paraId="5662F44C" w14:textId="40A99251" w:rsidR="008541A1" w:rsidRDefault="008541A1" w:rsidP="00777858">
      <w:pPr>
        <w:pStyle w:val="Paragraphedeliste"/>
        <w:numPr>
          <w:ilvl w:val="0"/>
          <w:numId w:val="32"/>
        </w:numPr>
        <w:pBdr>
          <w:top w:val="nil"/>
          <w:left w:val="nil"/>
          <w:bottom w:val="nil"/>
          <w:right w:val="nil"/>
          <w:between w:val="nil"/>
        </w:pBdr>
        <w:tabs>
          <w:tab w:val="left" w:pos="1307"/>
        </w:tabs>
        <w:jc w:val="both"/>
      </w:pPr>
      <w:r w:rsidRPr="00777858">
        <w:rPr>
          <w:b/>
          <w:bCs/>
          <w:color w:val="000000"/>
        </w:rPr>
        <w:t>Le principe des aides d’</w:t>
      </w:r>
      <w:r w:rsidR="00B07F25" w:rsidRPr="00777858">
        <w:rPr>
          <w:b/>
          <w:bCs/>
          <w:color w:val="000000"/>
        </w:rPr>
        <w:t>État</w:t>
      </w:r>
      <w:r w:rsidRPr="00777858">
        <w:rPr>
          <w:color w:val="000000"/>
        </w:rPr>
        <w:t xml:space="preserve"> ne s’appliquent pas aux fonds Horizon Europe.</w:t>
      </w:r>
    </w:p>
    <w:p w14:paraId="2D42DDDA" w14:textId="77777777" w:rsidR="008541A1" w:rsidRDefault="008541A1" w:rsidP="008541A1">
      <w:pPr>
        <w:pBdr>
          <w:top w:val="nil"/>
          <w:left w:val="nil"/>
          <w:bottom w:val="nil"/>
          <w:right w:val="nil"/>
          <w:between w:val="nil"/>
        </w:pBdr>
        <w:tabs>
          <w:tab w:val="left" w:pos="1307"/>
        </w:tabs>
        <w:ind w:left="360"/>
        <w:jc w:val="both"/>
      </w:pPr>
    </w:p>
    <w:p w14:paraId="00000034" w14:textId="61258886" w:rsidR="00CC781C" w:rsidRDefault="008541A1">
      <w:pPr>
        <w:tabs>
          <w:tab w:val="left" w:pos="1307"/>
        </w:tabs>
        <w:jc w:val="both"/>
      </w:pPr>
      <w:r>
        <w:t xml:space="preserve">Les questions administratives et financières sont traitées par le PCN (Point de Contact National) dédié à ces questions. </w:t>
      </w:r>
      <w:r w:rsidR="001603DD">
        <w:t xml:space="preserve">Des fiches explicatives sont disponibles sur un grand nombre de points sur </w:t>
      </w:r>
      <w:hyperlink r:id="rId17" w:anchor="regle-financiere" w:history="1">
        <w:r w:rsidR="001603DD" w:rsidRPr="00F30E04">
          <w:rPr>
            <w:rStyle w:val="Lienhypertexte"/>
          </w:rPr>
          <w:t>cette page</w:t>
        </w:r>
      </w:hyperlink>
      <w:r w:rsidR="001603DD">
        <w:rPr>
          <w:rStyle w:val="Appelnotedebasdep"/>
        </w:rPr>
        <w:footnoteReference w:id="5"/>
      </w:r>
      <w:r w:rsidR="001603DD">
        <w:t>.</w:t>
      </w:r>
    </w:p>
    <w:p w14:paraId="00000035" w14:textId="77777777" w:rsidR="00CC781C" w:rsidRDefault="008F7158">
      <w:pPr>
        <w:pStyle w:val="Titre1"/>
        <w:ind w:firstLine="360"/>
      </w:pPr>
      <w:r>
        <w:t>Exemples de projet</w:t>
      </w:r>
    </w:p>
    <w:p w14:paraId="00000036" w14:textId="77777777" w:rsidR="00CC781C" w:rsidRDefault="00CC781C">
      <w:pPr>
        <w:tabs>
          <w:tab w:val="left" w:pos="1307"/>
        </w:tabs>
        <w:jc w:val="both"/>
      </w:pPr>
    </w:p>
    <w:p w14:paraId="6627831A" w14:textId="445F0910" w:rsidR="00643535" w:rsidRDefault="008541A1" w:rsidP="008541A1">
      <w:pPr>
        <w:tabs>
          <w:tab w:val="left" w:pos="1307"/>
        </w:tabs>
        <w:jc w:val="both"/>
      </w:pPr>
      <w:r w:rsidRPr="00FD47F3">
        <w:t>Attention : ces exemples sont tirés du programme H2020. Le programme Horizon Europe ayant une structure différente, les appels présentés ici peuvent ne pas se retrouver dans le nouveau programme</w:t>
      </w:r>
      <w:r w:rsidR="00643535">
        <w:t>.</w:t>
      </w:r>
      <w:r w:rsidR="007B2C02">
        <w:t xml:space="preserve"> Le cluster précédent était principalement axé sur l’agriculture, la recherche maritime et la bioéconomie, ce cluster 6 comprend donc nouvellement des aspects liés à l’environnement et à la gestion des ressources.</w:t>
      </w:r>
    </w:p>
    <w:p w14:paraId="7BB21E35" w14:textId="66F63B5F" w:rsidR="009A7176" w:rsidRPr="00266EA7" w:rsidRDefault="00643535" w:rsidP="009A7176">
      <w:pPr>
        <w:tabs>
          <w:tab w:val="left" w:pos="1307"/>
        </w:tabs>
        <w:jc w:val="both"/>
      </w:pPr>
      <w:r>
        <w:t>Les exemples donnés ici visent donc</w:t>
      </w:r>
      <w:r w:rsidR="008541A1" w:rsidRPr="00FD47F3">
        <w:t xml:space="preserve"> avant tout </w:t>
      </w:r>
      <w:r>
        <w:t>à</w:t>
      </w:r>
      <w:r w:rsidR="008541A1" w:rsidRPr="00FD47F3">
        <w:t xml:space="preserve"> donner quelques exemples de ce à quoi un projet « Horizon Europe » </w:t>
      </w:r>
      <w:r>
        <w:t xml:space="preserve">sur les sujets du cluster </w:t>
      </w:r>
      <w:r w:rsidR="00D0105A">
        <w:t>6</w:t>
      </w:r>
      <w:r>
        <w:t xml:space="preserve"> pourra</w:t>
      </w:r>
      <w:r w:rsidR="004E37B8">
        <w:t>it</w:t>
      </w:r>
      <w:r>
        <w:t xml:space="preserve"> </w:t>
      </w:r>
      <w:r w:rsidR="008541A1" w:rsidRPr="00FD47F3">
        <w:t>ressemble</w:t>
      </w:r>
      <w:r>
        <w:t>r</w:t>
      </w:r>
      <w:r w:rsidR="008541A1" w:rsidRPr="00FD47F3">
        <w:t>, et donner quelques pistes de réflexion.</w:t>
      </w:r>
    </w:p>
    <w:p w14:paraId="7B3DC09A" w14:textId="77777777" w:rsidR="009A7176" w:rsidRPr="00266EA7" w:rsidRDefault="009A7176" w:rsidP="009A7176">
      <w:pPr>
        <w:tabs>
          <w:tab w:val="left" w:pos="1307"/>
        </w:tabs>
        <w:jc w:val="both"/>
      </w:pPr>
    </w:p>
    <w:p w14:paraId="0B12BCC6" w14:textId="77777777" w:rsidR="009A7176" w:rsidRPr="00266EA7"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bookmarkStart w:id="0" w:name="_Hlk74041141"/>
      <w:r w:rsidRPr="00266EA7">
        <w:rPr>
          <w:b/>
          <w:bCs/>
        </w:rPr>
        <w:t>Exemple n°</w:t>
      </w:r>
      <w:r>
        <w:rPr>
          <w:b/>
          <w:bCs/>
        </w:rPr>
        <w:t>1</w:t>
      </w:r>
      <w:r w:rsidRPr="00266EA7">
        <w:rPr>
          <w:b/>
          <w:bCs/>
        </w:rPr>
        <w:t> :</w:t>
      </w:r>
    </w:p>
    <w:p w14:paraId="68E0AFE6" w14:textId="4F8CEE3B" w:rsidR="009A7176" w:rsidRPr="00266EA7"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266EA7">
        <w:rPr>
          <w:u w:val="single"/>
        </w:rPr>
        <w:t>Porteur de projet :</w:t>
      </w:r>
      <w:r w:rsidRPr="00266EA7">
        <w:t xml:space="preserve"> </w:t>
      </w:r>
      <w:r w:rsidR="00A9537C">
        <w:t>Teknologian Tutkimuskeskus</w:t>
      </w:r>
      <w:r w:rsidR="00C5367B">
        <w:t xml:space="preserve"> (centre de recherche – FI)</w:t>
      </w:r>
    </w:p>
    <w:p w14:paraId="0EC8FEB2" w14:textId="21F30348" w:rsidR="009A7176" w:rsidRPr="00A9537C"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A9537C">
        <w:rPr>
          <w:u w:val="single"/>
        </w:rPr>
        <w:t>Titre :</w:t>
      </w:r>
      <w:r w:rsidRPr="00A9537C">
        <w:t xml:space="preserve"> </w:t>
      </w:r>
      <w:r w:rsidR="00A9537C" w:rsidRPr="00A9537C">
        <w:t>U</w:t>
      </w:r>
      <w:r w:rsidR="00A9537C">
        <w:t xml:space="preserve">NALAB - </w:t>
      </w:r>
      <w:r w:rsidR="00A9537C" w:rsidRPr="00A9537C">
        <w:t>Urban Nature Labs</w:t>
      </w:r>
    </w:p>
    <w:p w14:paraId="4FDFBAF8" w14:textId="6DBE8130" w:rsidR="009A7176" w:rsidRPr="006B1E5C" w:rsidRDefault="009A7176" w:rsidP="0057516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6B1E5C">
        <w:rPr>
          <w:u w:val="single"/>
        </w:rPr>
        <w:t>Contact </w:t>
      </w:r>
      <w:r w:rsidRPr="006B1E5C">
        <w:t xml:space="preserve">: </w:t>
      </w:r>
      <w:hyperlink r:id="rId18" w:history="1">
        <w:r w:rsidR="00AE41F4" w:rsidRPr="006B1E5C">
          <w:rPr>
            <w:rStyle w:val="Lienhypertexte"/>
          </w:rPr>
          <w:t>info@unalab.eu</w:t>
        </w:r>
      </w:hyperlink>
      <w:r w:rsidR="00AE41F4" w:rsidRPr="006B1E5C">
        <w:t>; +32 2 503 25 30 (BE)</w:t>
      </w:r>
    </w:p>
    <w:p w14:paraId="136990BF" w14:textId="0DD7D1D9" w:rsidR="009A7176" w:rsidRPr="006B1E5C"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6B1E5C">
        <w:rPr>
          <w:u w:val="single"/>
        </w:rPr>
        <w:t>Appel :</w:t>
      </w:r>
      <w:r w:rsidRPr="006B1E5C">
        <w:t xml:space="preserve"> </w:t>
      </w:r>
      <w:r w:rsidR="00A45FD9" w:rsidRPr="006B1E5C">
        <w:t>SCC-02-2016-2017 - Demonstrating innovative nature-based solutions in cities</w:t>
      </w:r>
    </w:p>
    <w:p w14:paraId="53E2B2AC" w14:textId="5433888B" w:rsidR="009A7176" w:rsidRPr="00266EA7"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A45FD9">
        <w:t>Juin 2017 à novembre 2022</w:t>
      </w:r>
    </w:p>
    <w:p w14:paraId="71462CDC" w14:textId="11F80908" w:rsidR="009A7176" w:rsidRPr="00A45FD9" w:rsidRDefault="009A7176"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A45FD9">
        <w:rPr>
          <w:u w:val="single"/>
        </w:rPr>
        <w:t>Budget :</w:t>
      </w:r>
      <w:r w:rsidRPr="00A45FD9">
        <w:t xml:space="preserve"> </w:t>
      </w:r>
      <w:r w:rsidR="00A45FD9" w:rsidRPr="00A45FD9">
        <w:t>1</w:t>
      </w:r>
      <w:r w:rsidR="00A45FD9">
        <w:t>4.2 millions € (12.7 millions de subvention)</w:t>
      </w:r>
    </w:p>
    <w:p w14:paraId="011BB1EC" w14:textId="413000D3" w:rsidR="00507DF9" w:rsidRDefault="00507DF9"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7C96778E" w14:textId="0CEB8A46" w:rsidR="000C68C5" w:rsidRDefault="004A3A71"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4A3A71">
        <w:t xml:space="preserve">UNaLab développera la mise en œuvre de zones de démonstration de « living lab » et un cadre européen de solutions innovantes, reproductibles et adaptées localement pour améliorer la résilience climatique et hydrique des villes. UNaLab se concentre sur la gestion écologique de l'eau urbaine, accompagnée de mesures de verdissement et d'un design urbain innovant et inclusif. Les partenaires de l'UNaLab visent à développer des sociétés locales plus intelligentes, plus inclusives, plus résilientes et plus durables grâce à une innovation basée sur la nature créée conjointement avec et pour les parties prenantes et les citoyens. </w:t>
      </w:r>
    </w:p>
    <w:p w14:paraId="699C8201" w14:textId="3669EF97" w:rsidR="004A3A71" w:rsidRDefault="004A3A71"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4A3A71">
        <w:t>Le consortium UNaLab est composé de 29 partenaires dans 12 pays européens différents et trois pays non membres de l'UE. Le consortium est bien équilibré, représentant les acteurs clés de la chaîne de valeur des défis urbains et des villes intelligentes et durables (organismes publics, instituts de recherche, grandes industries, petites et moyennes entreprises</w:t>
      </w:r>
      <w:r w:rsidR="000C68C5">
        <w:t>) – dont la Commune de Cannes en France (06)</w:t>
      </w:r>
    </w:p>
    <w:p w14:paraId="5794B5EB" w14:textId="77777777" w:rsidR="004A3A71" w:rsidRPr="00A45FD9" w:rsidRDefault="004A3A71"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2C33E06B" w14:textId="1C093D4D" w:rsidR="009A7176" w:rsidRPr="006B1E5C" w:rsidRDefault="007C303F"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color w:val="0000FF" w:themeColor="hyperlink"/>
          <w:u w:val="single"/>
          <w:lang w:val="nl-NL"/>
        </w:rPr>
      </w:pPr>
      <w:hyperlink r:id="rId19" w:history="1">
        <w:r w:rsidR="009A7176" w:rsidRPr="006B1E5C">
          <w:rPr>
            <w:color w:val="0000FF" w:themeColor="hyperlink"/>
            <w:u w:val="single"/>
            <w:lang w:val="nl-NL"/>
          </w:rPr>
          <w:t>Site web 1</w:t>
        </w:r>
      </w:hyperlink>
    </w:p>
    <w:p w14:paraId="4FD46320" w14:textId="47DAC93C" w:rsidR="00DF42FE" w:rsidRPr="006B1E5C" w:rsidRDefault="007C303F"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nl-NL"/>
        </w:rPr>
      </w:pPr>
      <w:hyperlink r:id="rId20" w:history="1">
        <w:r w:rsidR="00DF42FE" w:rsidRPr="006B1E5C">
          <w:rPr>
            <w:rStyle w:val="Lienhypertexte"/>
            <w:lang w:val="nl-NL"/>
          </w:rPr>
          <w:t>Site web 2</w:t>
        </w:r>
      </w:hyperlink>
    </w:p>
    <w:bookmarkEnd w:id="0"/>
    <w:p w14:paraId="4A371303" w14:textId="3DE135A7" w:rsidR="00F85EDD" w:rsidRPr="006B1E5C" w:rsidRDefault="00F85EDD" w:rsidP="00F85EDD">
      <w:pPr>
        <w:pBdr>
          <w:top w:val="nil"/>
          <w:left w:val="nil"/>
          <w:bottom w:val="nil"/>
          <w:right w:val="nil"/>
          <w:between w:val="nil"/>
        </w:pBdr>
        <w:tabs>
          <w:tab w:val="left" w:pos="1307"/>
        </w:tabs>
        <w:jc w:val="both"/>
        <w:rPr>
          <w:lang w:val="nl-NL"/>
        </w:rPr>
      </w:pPr>
    </w:p>
    <w:p w14:paraId="346E47AE" w14:textId="794A9027" w:rsidR="00E41CC8" w:rsidRPr="006B1E5C"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lang w:val="nl-NL"/>
        </w:rPr>
      </w:pPr>
      <w:r w:rsidRPr="006B1E5C">
        <w:rPr>
          <w:b/>
          <w:bCs/>
          <w:lang w:val="nl-NL"/>
        </w:rPr>
        <w:t>Exemple n°2 :</w:t>
      </w:r>
    </w:p>
    <w:p w14:paraId="05C0A89E" w14:textId="0F163343" w:rsidR="00E41CC8" w:rsidRPr="0035511D"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lang w:val="nl-NL"/>
        </w:rPr>
      </w:pPr>
      <w:r w:rsidRPr="0035511D">
        <w:rPr>
          <w:u w:val="single"/>
          <w:lang w:val="nl-NL"/>
        </w:rPr>
        <w:t>Porteur de projet :</w:t>
      </w:r>
      <w:r w:rsidRPr="0035511D">
        <w:rPr>
          <w:lang w:val="nl-NL"/>
        </w:rPr>
        <w:t xml:space="preserve"> </w:t>
      </w:r>
      <w:r w:rsidR="0035511D" w:rsidRPr="0035511D">
        <w:rPr>
          <w:lang w:val="nl-NL"/>
        </w:rPr>
        <w:t>Stichting Wagen</w:t>
      </w:r>
      <w:r w:rsidR="0035511D">
        <w:rPr>
          <w:lang w:val="nl-NL"/>
        </w:rPr>
        <w:t>ingen research (NL)</w:t>
      </w:r>
    </w:p>
    <w:p w14:paraId="4B117709" w14:textId="2D99E835" w:rsidR="00E41CC8" w:rsidRPr="0035511D"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r w:rsidRPr="0035511D">
        <w:rPr>
          <w:u w:val="single"/>
          <w:lang w:val="en-GB"/>
        </w:rPr>
        <w:t>Titre :</w:t>
      </w:r>
      <w:r w:rsidRPr="0035511D">
        <w:rPr>
          <w:lang w:val="en-GB"/>
        </w:rPr>
        <w:t xml:space="preserve"> </w:t>
      </w:r>
      <w:r w:rsidR="0035511D" w:rsidRPr="0035511D">
        <w:rPr>
          <w:lang w:val="en-GB"/>
        </w:rPr>
        <w:t>SOILCARE - Soil Care for profitable and sustainable crop production in Europe</w:t>
      </w:r>
    </w:p>
    <w:p w14:paraId="7810729A" w14:textId="08F7836E" w:rsidR="00E41CC8" w:rsidRPr="0035511D" w:rsidRDefault="00E41CC8" w:rsidP="0035511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r w:rsidRPr="0035511D">
        <w:rPr>
          <w:u w:val="single"/>
          <w:lang w:val="en-GB"/>
        </w:rPr>
        <w:t>Contact </w:t>
      </w:r>
      <w:r w:rsidRPr="0035511D">
        <w:rPr>
          <w:lang w:val="en-GB"/>
        </w:rPr>
        <w:t xml:space="preserve">: </w:t>
      </w:r>
      <w:r w:rsidR="0035511D" w:rsidRPr="0035511D">
        <w:rPr>
          <w:lang w:val="en-GB"/>
        </w:rPr>
        <w:t xml:space="preserve">General coordination : </w:t>
      </w:r>
      <w:hyperlink r:id="rId21" w:history="1">
        <w:r w:rsidR="0035511D" w:rsidRPr="009A1EEA">
          <w:rPr>
            <w:rStyle w:val="Lienhypertexte"/>
            <w:lang w:val="en-GB"/>
          </w:rPr>
          <w:t>rudi.hessel@wur.nl</w:t>
        </w:r>
      </w:hyperlink>
      <w:r w:rsidR="0035511D">
        <w:rPr>
          <w:lang w:val="en-GB"/>
        </w:rPr>
        <w:t xml:space="preserve"> </w:t>
      </w:r>
      <w:r w:rsidR="004D5E73">
        <w:rPr>
          <w:lang w:val="en-GB"/>
        </w:rPr>
        <w:t xml:space="preserve">Tel : </w:t>
      </w:r>
      <w:r w:rsidR="0035511D" w:rsidRPr="0035511D">
        <w:rPr>
          <w:lang w:val="en-GB"/>
        </w:rPr>
        <w:t>+313174686530</w:t>
      </w:r>
    </w:p>
    <w:p w14:paraId="2A097216" w14:textId="4FF3F46F" w:rsidR="00E41CC8"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Partenariat :</w:t>
      </w:r>
      <w:r w:rsidRPr="00D00138">
        <w:t xml:space="preserve"> </w:t>
      </w:r>
      <w:r w:rsidR="00992BB6">
        <w:t>28 partenaires, dont la Fédération régionale des agrobiologistes de Bretagne</w:t>
      </w:r>
    </w:p>
    <w:p w14:paraId="476A7E73" w14:textId="1A2244CE" w:rsidR="00E41CC8" w:rsidRPr="00C00CE0"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r w:rsidRPr="00C00CE0">
        <w:rPr>
          <w:u w:val="single"/>
          <w:lang w:val="en-GB"/>
        </w:rPr>
        <w:t>Appel :</w:t>
      </w:r>
      <w:r w:rsidRPr="00C00CE0">
        <w:rPr>
          <w:lang w:val="en-GB"/>
        </w:rPr>
        <w:t xml:space="preserve"> </w:t>
      </w:r>
      <w:r w:rsidR="00C00CE0" w:rsidRPr="00C00CE0">
        <w:rPr>
          <w:lang w:val="en-GB"/>
        </w:rPr>
        <w:t>SC5-16-2014 - Making Earth Observation and Monitoring Data usable for ecosystem modelling and services</w:t>
      </w:r>
    </w:p>
    <w:p w14:paraId="5B81CE0E" w14:textId="0FEB2CB7" w:rsidR="00E41CC8" w:rsidRPr="00266EA7"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4D5E73">
        <w:t>mars 2016 à août 2021</w:t>
      </w:r>
    </w:p>
    <w:p w14:paraId="1DCAC57B" w14:textId="411BB2D1" w:rsidR="00E41CC8" w:rsidRPr="004D5E73"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4D5E73">
        <w:rPr>
          <w:u w:val="single"/>
        </w:rPr>
        <w:t>Budget :</w:t>
      </w:r>
      <w:r w:rsidRPr="004D5E73">
        <w:t xml:space="preserve"> </w:t>
      </w:r>
      <w:r w:rsidR="004D5E73" w:rsidRPr="004D5E73">
        <w:t>7.6 millions € (6.9 millions de su</w:t>
      </w:r>
      <w:r w:rsidR="004D5E73">
        <w:t>bvention)</w:t>
      </w:r>
    </w:p>
    <w:p w14:paraId="243D7797" w14:textId="5FFE67BB" w:rsidR="00C00CE0" w:rsidRPr="006B1E5C" w:rsidRDefault="00C00CE0"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76F1A7BA" w14:textId="45902E06" w:rsidR="004D5E73" w:rsidRPr="004D5E73" w:rsidRDefault="004D5E73" w:rsidP="004D5E7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4D5E73">
        <w:t>La production végétale européenne doit rester compétitive tout en réduisant les impacts environnementaux, ce qui nécessite le développement et l'adoption de systèmes de culture efficaces pour l'amélioration des sols. L'objectif global de SOILCARE est d'identifier et d'évaluer des systèmes de culture prometteurs pour l'amélioration des sols et des techniques agronomiques augmentant la rentabilité et la durabilité à toutes les échelles en Europe. Une approche transdisciplinaire sera utilisée pour évaluer les avantages et les inconvénients d'une nouvelle génération de systèmes de culture d'amélioration des sols.</w:t>
      </w:r>
    </w:p>
    <w:p w14:paraId="7CCE9FEC" w14:textId="77777777" w:rsidR="000A1441" w:rsidRDefault="004D5E73" w:rsidP="004D5E7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4D5E73">
        <w:t xml:space="preserve">Les informations existantes issues de la littérature et des expériences à long terme seront analysées pour développer une méthodologie complète d'évaluation des performances des systèmes de culture à plusieurs niveaux. Une approche multi-acteurs sera utilisée pour sélectionner des systèmes de culture d'amélioration des sols prometteurs pour une évaluation scientifique dans 16 sites d'étude à travers l'Europe couvrant différentes conditions pédoclimatiques et socio-économiques. Les systèmes de culture mis en œuvre seront suivis avec la participation des parties prenantes et évalués conjointement avec les scientifiques. Une attention particulière sera accordée à l'adoption de systèmes de culture d'amélioration des sols et de techniques agronomiques à l'intérieur et au-delà des sites d'étude. </w:t>
      </w:r>
    </w:p>
    <w:p w14:paraId="3DDE582F" w14:textId="7F01EF72" w:rsidR="004D5E73" w:rsidRPr="004D5E73" w:rsidRDefault="004D5E73" w:rsidP="000A144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4D5E73">
        <w:t>Un outil interactif sera développé pour permettre aux utilisateurs finaux d'identifier et de hiérarchiser les systèmes de culture appropriés pour l'amélioration des sols partout en Europe</w:t>
      </w:r>
      <w:r w:rsidR="000A1441">
        <w:t>.</w:t>
      </w:r>
    </w:p>
    <w:p w14:paraId="49877AC3" w14:textId="77777777" w:rsidR="004D5E73" w:rsidRPr="004D5E73" w:rsidRDefault="004D5E73"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298F40FD" w14:textId="4D21F8DF" w:rsidR="00E41CC8" w:rsidRPr="006B1E5C" w:rsidRDefault="007C303F"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color w:val="0000FF" w:themeColor="hyperlink"/>
          <w:u w:val="single"/>
        </w:rPr>
      </w:pPr>
      <w:hyperlink r:id="rId22" w:history="1">
        <w:r w:rsidR="00E41CC8" w:rsidRPr="006B1E5C">
          <w:rPr>
            <w:color w:val="0000FF" w:themeColor="hyperlink"/>
            <w:u w:val="single"/>
          </w:rPr>
          <w:t>Site web 1</w:t>
        </w:r>
      </w:hyperlink>
    </w:p>
    <w:p w14:paraId="77BCE6E6" w14:textId="1382FA23" w:rsidR="00E41CC8" w:rsidRPr="006B1E5C" w:rsidRDefault="007C303F"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3" w:history="1">
        <w:r w:rsidR="00E41CC8" w:rsidRPr="006B1E5C">
          <w:rPr>
            <w:rStyle w:val="Lienhypertexte"/>
          </w:rPr>
          <w:t>Site web 2</w:t>
        </w:r>
      </w:hyperlink>
    </w:p>
    <w:p w14:paraId="24F30037" w14:textId="77777777" w:rsidR="00E41CC8" w:rsidRPr="006B1E5C" w:rsidRDefault="00E41CC8" w:rsidP="00E41CC8">
      <w:pPr>
        <w:tabs>
          <w:tab w:val="left" w:pos="1307"/>
        </w:tabs>
        <w:jc w:val="both"/>
      </w:pPr>
    </w:p>
    <w:p w14:paraId="1F85581C" w14:textId="41232034" w:rsidR="00E41CC8" w:rsidRPr="006B1E5C"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6B1E5C">
        <w:rPr>
          <w:b/>
          <w:bCs/>
        </w:rPr>
        <w:t>Exemple n°3 :</w:t>
      </w:r>
    </w:p>
    <w:p w14:paraId="5991FE9D" w14:textId="1EB0E629" w:rsidR="00E41CC8" w:rsidRPr="006B1E5C"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6B1E5C">
        <w:rPr>
          <w:u w:val="single"/>
        </w:rPr>
        <w:t>Porteur de projet :</w:t>
      </w:r>
      <w:r w:rsidRPr="006B1E5C">
        <w:t xml:space="preserve"> </w:t>
      </w:r>
      <w:r w:rsidR="00B26019" w:rsidRPr="006B1E5C">
        <w:t>INRAE (FR)</w:t>
      </w:r>
    </w:p>
    <w:p w14:paraId="50E1C213" w14:textId="4B34F135" w:rsidR="00E41CC8" w:rsidRPr="00B26019"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r w:rsidRPr="00B26019">
        <w:rPr>
          <w:u w:val="single"/>
          <w:lang w:val="en-GB"/>
        </w:rPr>
        <w:t>Titre :</w:t>
      </w:r>
      <w:r w:rsidRPr="00B26019">
        <w:rPr>
          <w:lang w:val="en-GB"/>
        </w:rPr>
        <w:t xml:space="preserve"> </w:t>
      </w:r>
      <w:r w:rsidR="00B26019" w:rsidRPr="00B26019">
        <w:rPr>
          <w:lang w:val="en-GB"/>
        </w:rPr>
        <w:t>B4EST - Adaptive BREEDING for productive, sustainable and resilient FORESTs under climate change</w:t>
      </w:r>
    </w:p>
    <w:p w14:paraId="7FDF2219" w14:textId="06242250" w:rsidR="00E41CC8" w:rsidRPr="00A95997"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A95997">
        <w:rPr>
          <w:u w:val="single"/>
        </w:rPr>
        <w:t>Contact </w:t>
      </w:r>
      <w:r w:rsidRPr="00A95997">
        <w:t xml:space="preserve">: </w:t>
      </w:r>
      <w:r w:rsidR="00A95997" w:rsidRPr="00A95997">
        <w:t>Dr Cathernie B</w:t>
      </w:r>
      <w:r w:rsidR="00A95997">
        <w:t xml:space="preserve">astien : </w:t>
      </w:r>
      <w:hyperlink r:id="rId24" w:history="1">
        <w:r w:rsidR="00A95997" w:rsidRPr="009A1EEA">
          <w:rPr>
            <w:rStyle w:val="Lienhypertexte"/>
          </w:rPr>
          <w:t>info@b4est.eu</w:t>
        </w:r>
      </w:hyperlink>
      <w:r w:rsidR="00A95997">
        <w:t xml:space="preserve"> </w:t>
      </w:r>
    </w:p>
    <w:p w14:paraId="2E2C1910" w14:textId="21A84890" w:rsidR="00E41CC8" w:rsidRPr="008321C6"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8321C6">
        <w:rPr>
          <w:u w:val="single"/>
        </w:rPr>
        <w:t>Partenariat :</w:t>
      </w:r>
      <w:r w:rsidRPr="008321C6">
        <w:t xml:space="preserve"> </w:t>
      </w:r>
      <w:r w:rsidR="008321C6" w:rsidRPr="008321C6">
        <w:t>18 participants, dont l’INRAE e</w:t>
      </w:r>
      <w:r w:rsidR="008321C6">
        <w:t>t l’Université Paul Sabatier Toulouse III</w:t>
      </w:r>
    </w:p>
    <w:p w14:paraId="6CCA3794" w14:textId="1D29E940" w:rsidR="00E41CC8" w:rsidRPr="00992BB6"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r w:rsidRPr="00992BB6">
        <w:rPr>
          <w:u w:val="single"/>
          <w:lang w:val="en-GB"/>
        </w:rPr>
        <w:t>Appel :</w:t>
      </w:r>
      <w:r w:rsidRPr="00992BB6">
        <w:rPr>
          <w:lang w:val="en-GB"/>
        </w:rPr>
        <w:t xml:space="preserve"> </w:t>
      </w:r>
      <w:r w:rsidR="00992BB6" w:rsidRPr="00992BB6">
        <w:rPr>
          <w:lang w:val="en-GB"/>
        </w:rPr>
        <w:t>BB-03-2017 - Adaptive tree breeding strategies and tools for forest production systems resilient to climate change and natural disturbances</w:t>
      </w:r>
    </w:p>
    <w:p w14:paraId="24C30E85" w14:textId="6B029B9C" w:rsidR="00E41CC8" w:rsidRPr="00266EA7"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A95997">
        <w:t>Mai 2018 à avril 2022</w:t>
      </w:r>
    </w:p>
    <w:p w14:paraId="6A10D191" w14:textId="6D6E1D34" w:rsidR="00E41CC8"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66EA7">
        <w:rPr>
          <w:u w:val="single"/>
        </w:rPr>
        <w:t>Budget :</w:t>
      </w:r>
      <w:r w:rsidRPr="00266EA7">
        <w:t xml:space="preserve"> </w:t>
      </w:r>
      <w:r w:rsidR="00A95997">
        <w:t>6.7 millions € (6 millions de subvention)</w:t>
      </w:r>
    </w:p>
    <w:p w14:paraId="22448BEF" w14:textId="4C20F038" w:rsidR="00E41CC8" w:rsidRDefault="00E41CC8"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11763705" w14:textId="6A1071DE" w:rsidR="007317A5" w:rsidRDefault="007317A5" w:rsidP="007317A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L'objectif de B4EST est d'augmenter la survie, la santé, la résilience et la productivité des forêts face au changement climatique et aux perturbations naturelles, tout en maintenant la diversité génétique et les fonctions écologiques clés, et en favorisant une bioéconomie européenne compétitive.</w:t>
      </w:r>
    </w:p>
    <w:p w14:paraId="13ED462A" w14:textId="77777777" w:rsidR="00276567" w:rsidRDefault="00276567" w:rsidP="007317A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7F29794E" w14:textId="33C8658E" w:rsidR="007317A5" w:rsidRDefault="007317A5" w:rsidP="007317A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B4EST fournira aux sélectionneurs d'arbres forestiers, aux gestionnaires et propriétaires forestiers et aux décideurs politiques : 1) de meilleures connaissances scientifiques sur les profils d'adaptation et la productivité durable, et la valeur ajoutée des matières premières dans les espèces d'arbres européennes importantes pour la foresterie, 2) </w:t>
      </w:r>
      <w:r w:rsidR="00276567">
        <w:t>de nouvelles stratégies adaptatives et flexible</w:t>
      </w:r>
      <w:r>
        <w:t xml:space="preserve"> de sélection</w:t>
      </w:r>
      <w:r w:rsidR="00276567">
        <w:t>/croisements</w:t>
      </w:r>
      <w:r>
        <w:t xml:space="preserve"> 3) génotypes d'arbres à haute valeur adaptative et économique, 4) outils d'aide à la décision pour le choix et l'utilisation du matériel forestier de reproduction (MRF) tout en équilibrant production, résilience et diversité génétique, y compris des études de cas développées avec des partenaires industriels, 5 ) des modèles de performance intégratifs pour guider le déploiement de la GRF au niveau du peuplement et du paysage, 6) des analyses économiques des risques/bénéfices/coûts, et 6) des recommandations politiques.</w:t>
      </w:r>
    </w:p>
    <w:p w14:paraId="7B042BC7" w14:textId="77777777" w:rsidR="00276567" w:rsidRDefault="00276567" w:rsidP="007317A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572D52C3" w14:textId="1EDA7290" w:rsidR="007317A5" w:rsidRDefault="007317A5" w:rsidP="007317A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Pour couvrir les besoins géographiques, économiques et sociétaux de la foresterie dans l'UE, B4EST travaillera avec 8 conifères et feuillus </w:t>
      </w:r>
      <w:r w:rsidR="00574CD3">
        <w:t xml:space="preserve">(six indigènes, deux non indigènes) </w:t>
      </w:r>
      <w:r>
        <w:t>avec des programmes de sélection avancés (épicéa de Norvège, pin sylvestre, pin maritime, peupliers, douglas</w:t>
      </w:r>
      <w:r w:rsidR="00574CD3">
        <w:t>,</w:t>
      </w:r>
      <w:r>
        <w:t xml:space="preserve"> sapin, eucalyptus) ou qui sont des études de cas de forêts menacées par les ravageurs (frêne) ou de produits précieux non ligneux (pin cembro).</w:t>
      </w:r>
    </w:p>
    <w:p w14:paraId="261734C2" w14:textId="77777777" w:rsidR="007317A5" w:rsidRDefault="007317A5"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3AB904A6" w14:textId="69E59A6B" w:rsidR="00E41CC8" w:rsidRDefault="007C303F"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color w:val="0000FF" w:themeColor="hyperlink"/>
          <w:u w:val="single"/>
        </w:rPr>
      </w:pPr>
      <w:hyperlink r:id="rId25" w:history="1">
        <w:r w:rsidR="00E41CC8" w:rsidRPr="0088308B">
          <w:rPr>
            <w:color w:val="0000FF" w:themeColor="hyperlink"/>
            <w:u w:val="single"/>
          </w:rPr>
          <w:t>Site web 1</w:t>
        </w:r>
      </w:hyperlink>
    </w:p>
    <w:p w14:paraId="66F43051" w14:textId="79909A56" w:rsidR="00E41CC8" w:rsidRPr="0088308B" w:rsidRDefault="007C303F" w:rsidP="00E41CC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6" w:history="1">
        <w:r w:rsidR="00E41CC8" w:rsidRPr="00DF42FE">
          <w:rPr>
            <w:rStyle w:val="Lienhypertexte"/>
          </w:rPr>
          <w:t>Site web 2</w:t>
        </w:r>
      </w:hyperlink>
    </w:p>
    <w:p w14:paraId="4324BB5D" w14:textId="77777777" w:rsidR="00F85EDD" w:rsidRDefault="00F85EDD" w:rsidP="00F85EDD">
      <w:pPr>
        <w:pBdr>
          <w:top w:val="nil"/>
          <w:left w:val="nil"/>
          <w:bottom w:val="nil"/>
          <w:right w:val="nil"/>
          <w:between w:val="nil"/>
        </w:pBdr>
        <w:tabs>
          <w:tab w:val="left" w:pos="1307"/>
        </w:tabs>
        <w:jc w:val="both"/>
      </w:pPr>
    </w:p>
    <w:p w14:paraId="2DBBFDB0" w14:textId="200006C1" w:rsidR="00F85EDD" w:rsidRPr="00F85EDD" w:rsidRDefault="008F7158" w:rsidP="00F85EDD">
      <w:pPr>
        <w:pStyle w:val="Titre1"/>
        <w:ind w:firstLine="360"/>
      </w:pPr>
      <w:r>
        <w:t>Informations pratiques</w:t>
      </w:r>
    </w:p>
    <w:p w14:paraId="0000003B" w14:textId="77777777" w:rsidR="00CC781C" w:rsidRDefault="00CC781C">
      <w:pPr>
        <w:tabs>
          <w:tab w:val="left" w:pos="1307"/>
        </w:tabs>
        <w:jc w:val="both"/>
      </w:pPr>
    </w:p>
    <w:p w14:paraId="7AA78A02" w14:textId="77777777" w:rsidR="000B7EB7" w:rsidRDefault="000B7EB7" w:rsidP="00777858">
      <w:pPr>
        <w:pStyle w:val="Paragraphedeliste"/>
        <w:numPr>
          <w:ilvl w:val="0"/>
          <w:numId w:val="33"/>
        </w:numPr>
        <w:tabs>
          <w:tab w:val="left" w:pos="1307"/>
        </w:tabs>
        <w:jc w:val="both"/>
      </w:pPr>
      <w:r>
        <w:t>Des points de contacts nationaux (PCN) existent pour ce programme, et peuvent être contacté en cas de question ou de besoin de conseil. Ces PCN sont spécialisés par thématique transversale, par cluster, ou par instrument : PCN questions juridiques et financières ; PCN Santé ; PCN Fission ; PCN transports ; etc.</w:t>
      </w:r>
    </w:p>
    <w:p w14:paraId="197B15AD" w14:textId="6E5C6586" w:rsidR="000B7EB7" w:rsidRPr="00EC0748" w:rsidRDefault="000B7EB7" w:rsidP="00EC0748">
      <w:pPr>
        <w:tabs>
          <w:tab w:val="left" w:pos="1307"/>
        </w:tabs>
        <w:ind w:left="360"/>
        <w:jc w:val="both"/>
      </w:pPr>
      <w:r>
        <w:t xml:space="preserve">La liste complète est disponible </w:t>
      </w:r>
      <w:hyperlink r:id="rId27" w:history="1">
        <w:r>
          <w:rPr>
            <w:rStyle w:val="Lienhypertexte"/>
          </w:rPr>
          <w:t>ici</w:t>
        </w:r>
      </w:hyperlink>
      <w:r>
        <w:t>.</w:t>
      </w:r>
    </w:p>
    <w:p w14:paraId="1133F019" w14:textId="77777777" w:rsidR="00990312" w:rsidRPr="00990312" w:rsidRDefault="00990312" w:rsidP="00990312">
      <w:pPr>
        <w:tabs>
          <w:tab w:val="left" w:pos="1307"/>
        </w:tabs>
        <w:ind w:left="360"/>
        <w:jc w:val="both"/>
        <w:rPr>
          <w:rFonts w:asciiTheme="majorHAnsi" w:hAnsiTheme="majorHAnsi" w:cstheme="majorHAnsi"/>
        </w:rPr>
      </w:pPr>
    </w:p>
    <w:p w14:paraId="1392B29F" w14:textId="29030811" w:rsidR="007B5BC7" w:rsidRPr="001E485D" w:rsidRDefault="000B7EB7" w:rsidP="001E485D">
      <w:pPr>
        <w:pStyle w:val="Paragraphedeliste"/>
        <w:numPr>
          <w:ilvl w:val="0"/>
          <w:numId w:val="19"/>
        </w:numPr>
        <w:tabs>
          <w:tab w:val="left" w:pos="1307"/>
        </w:tabs>
        <w:jc w:val="both"/>
        <w:rPr>
          <w:rFonts w:asciiTheme="majorHAnsi" w:hAnsiTheme="majorHAnsi" w:cstheme="majorHAnsi"/>
        </w:rPr>
      </w:pPr>
      <w:r>
        <w:rPr>
          <w:rFonts w:asciiTheme="majorHAnsi" w:hAnsiTheme="majorHAnsi" w:cstheme="majorHAnsi"/>
        </w:rPr>
        <w:t xml:space="preserve">La longueur du dossier </w:t>
      </w:r>
      <w:r w:rsidR="007B5BC7">
        <w:rPr>
          <w:rFonts w:asciiTheme="majorHAnsi" w:hAnsiTheme="majorHAnsi" w:cstheme="majorHAnsi"/>
        </w:rPr>
        <w:t>varie selon le type de projet :</w:t>
      </w:r>
    </w:p>
    <w:p w14:paraId="4E13D976" w14:textId="3D69C951" w:rsidR="007B5BC7" w:rsidRDefault="00574CD3" w:rsidP="007B5BC7">
      <w:pPr>
        <w:pStyle w:val="Paragraphedeliste"/>
        <w:numPr>
          <w:ilvl w:val="1"/>
          <w:numId w:val="19"/>
        </w:numPr>
        <w:tabs>
          <w:tab w:val="left" w:pos="1307"/>
        </w:tabs>
        <w:jc w:val="both"/>
        <w:rPr>
          <w:rFonts w:asciiTheme="majorHAnsi" w:hAnsiTheme="majorHAnsi" w:cstheme="majorHAnsi"/>
        </w:rPr>
      </w:pPr>
      <w:r>
        <w:rPr>
          <w:rFonts w:asciiTheme="majorHAnsi" w:hAnsiTheme="majorHAnsi" w:cstheme="majorHAnsi"/>
        </w:rPr>
        <w:t>P</w:t>
      </w:r>
      <w:r w:rsidR="000B7EB7">
        <w:rPr>
          <w:rFonts w:asciiTheme="majorHAnsi" w:hAnsiTheme="majorHAnsi" w:cstheme="majorHAnsi"/>
        </w:rPr>
        <w:t xml:space="preserve">our les projets </w:t>
      </w:r>
      <w:r w:rsidR="00990312">
        <w:rPr>
          <w:rFonts w:asciiTheme="majorHAnsi" w:hAnsiTheme="majorHAnsi" w:cstheme="majorHAnsi"/>
        </w:rPr>
        <w:t xml:space="preserve">IA et </w:t>
      </w:r>
      <w:r w:rsidR="000B7EB7">
        <w:rPr>
          <w:rFonts w:asciiTheme="majorHAnsi" w:hAnsiTheme="majorHAnsi" w:cstheme="majorHAnsi"/>
        </w:rPr>
        <w:t>RIA</w:t>
      </w:r>
      <w:r w:rsidR="001E485D">
        <w:rPr>
          <w:rFonts w:asciiTheme="majorHAnsi" w:hAnsiTheme="majorHAnsi" w:cstheme="majorHAnsi"/>
        </w:rPr>
        <w:t>,</w:t>
      </w:r>
      <w:r w:rsidR="000B7EB7">
        <w:rPr>
          <w:rFonts w:asciiTheme="majorHAnsi" w:hAnsiTheme="majorHAnsi" w:cstheme="majorHAnsi"/>
        </w:rPr>
        <w:t xml:space="preserve"> 45 pages (attention, les pages supplémentaires sont simplement coupées et non transmises à l’évaluateur).</w:t>
      </w:r>
      <w:r w:rsidR="00990312">
        <w:rPr>
          <w:rFonts w:asciiTheme="majorHAnsi" w:hAnsiTheme="majorHAnsi" w:cstheme="majorHAnsi"/>
        </w:rPr>
        <w:t xml:space="preserve"> </w:t>
      </w:r>
    </w:p>
    <w:p w14:paraId="211B682C" w14:textId="77777777" w:rsidR="007B5BC7" w:rsidRDefault="00990312" w:rsidP="007B5BC7">
      <w:pPr>
        <w:pStyle w:val="Paragraphedeliste"/>
        <w:numPr>
          <w:ilvl w:val="1"/>
          <w:numId w:val="19"/>
        </w:numPr>
        <w:tabs>
          <w:tab w:val="left" w:pos="1307"/>
        </w:tabs>
        <w:jc w:val="both"/>
        <w:rPr>
          <w:rFonts w:asciiTheme="majorHAnsi" w:hAnsiTheme="majorHAnsi" w:cstheme="majorHAnsi"/>
        </w:rPr>
      </w:pPr>
      <w:r>
        <w:rPr>
          <w:rFonts w:asciiTheme="majorHAnsi" w:hAnsiTheme="majorHAnsi" w:cstheme="majorHAnsi"/>
        </w:rPr>
        <w:t xml:space="preserve">Les projets CSA </w:t>
      </w:r>
      <w:r w:rsidR="007B5BC7">
        <w:rPr>
          <w:rFonts w:asciiTheme="majorHAnsi" w:hAnsiTheme="majorHAnsi" w:cstheme="majorHAnsi"/>
        </w:rPr>
        <w:t>doivent faire 30 pages maximum</w:t>
      </w:r>
    </w:p>
    <w:p w14:paraId="3BCE9DC2" w14:textId="77777777" w:rsidR="007B5BC7" w:rsidRDefault="007B5BC7" w:rsidP="007B5BC7">
      <w:pPr>
        <w:pStyle w:val="Paragraphedeliste"/>
        <w:numPr>
          <w:ilvl w:val="1"/>
          <w:numId w:val="19"/>
        </w:numPr>
        <w:tabs>
          <w:tab w:val="left" w:pos="1307"/>
        </w:tabs>
        <w:jc w:val="both"/>
        <w:rPr>
          <w:rFonts w:asciiTheme="majorHAnsi" w:hAnsiTheme="majorHAnsi" w:cstheme="majorHAnsi"/>
        </w:rPr>
      </w:pPr>
      <w:r>
        <w:rPr>
          <w:rFonts w:asciiTheme="majorHAnsi" w:hAnsiTheme="majorHAnsi" w:cstheme="majorHAnsi"/>
        </w:rPr>
        <w:t>Dans les cas de dépôt en 2 étapes, la « note de concept » doit faire 10 pages maximum</w:t>
      </w:r>
    </w:p>
    <w:p w14:paraId="21FB4A51" w14:textId="191F8402" w:rsidR="000B7EB7" w:rsidRPr="007B5BC7" w:rsidRDefault="000B7EB7" w:rsidP="007B5BC7">
      <w:pPr>
        <w:pStyle w:val="Paragraphedeliste"/>
        <w:numPr>
          <w:ilvl w:val="0"/>
          <w:numId w:val="22"/>
        </w:numPr>
        <w:tabs>
          <w:tab w:val="left" w:pos="1307"/>
        </w:tabs>
        <w:jc w:val="both"/>
        <w:rPr>
          <w:rFonts w:asciiTheme="majorHAnsi" w:hAnsiTheme="majorHAnsi" w:cstheme="majorHAnsi"/>
        </w:rPr>
      </w:pPr>
      <w:r w:rsidRPr="007B5BC7">
        <w:rPr>
          <w:rFonts w:asciiTheme="majorHAnsi" w:hAnsiTheme="majorHAnsi" w:cstheme="majorHAnsi"/>
        </w:rPr>
        <w:t xml:space="preserve"> Il peut cependant exister des exceptions selon les topics, et le nombre de pages peut monter à 60 ou 70 pages. Pour connaitre le nombre de pages exactes il faut consulter les règles propres à votre appel à projet dans le programme de travail spécifique au Cluster </w:t>
      </w:r>
      <w:r w:rsidR="00C421C2">
        <w:rPr>
          <w:rFonts w:asciiTheme="majorHAnsi" w:hAnsiTheme="majorHAnsi" w:cstheme="majorHAnsi"/>
        </w:rPr>
        <w:t>6</w:t>
      </w:r>
      <w:r w:rsidRPr="007B5BC7">
        <w:rPr>
          <w:rFonts w:asciiTheme="majorHAnsi" w:hAnsiTheme="majorHAnsi" w:cstheme="majorHAnsi"/>
        </w:rPr>
        <w:t xml:space="preserve"> (</w:t>
      </w:r>
      <w:r w:rsidR="007B5BC7" w:rsidRPr="007B5BC7">
        <w:rPr>
          <w:rFonts w:asciiTheme="majorHAnsi" w:hAnsiTheme="majorHAnsi" w:cstheme="majorHAnsi"/>
        </w:rPr>
        <w:t xml:space="preserve">il sera </w:t>
      </w:r>
      <w:bookmarkStart w:id="1" w:name="_Hlk73976937"/>
      <w:r w:rsidRPr="007B5BC7">
        <w:rPr>
          <w:rFonts w:asciiTheme="majorHAnsi" w:hAnsiTheme="majorHAnsi" w:cstheme="majorHAnsi"/>
        </w:rPr>
        <w:fldChar w:fldCharType="begin"/>
      </w:r>
      <w:r w:rsidR="007B5BC7" w:rsidRPr="007B5BC7">
        <w:rPr>
          <w:rFonts w:asciiTheme="majorHAnsi" w:hAnsiTheme="majorHAnsi" w:cstheme="majorHAnsi"/>
        </w:rPr>
        <w:instrText>HYPERLINK "https://ec.europa.eu/info/funding-tenders/opportunities/portal/screen/how-to-participate/reference-documents;programCode=HORIZON"</w:instrText>
      </w:r>
      <w:r w:rsidRPr="007B5BC7">
        <w:rPr>
          <w:rFonts w:asciiTheme="majorHAnsi" w:hAnsiTheme="majorHAnsi" w:cstheme="majorHAnsi"/>
        </w:rPr>
        <w:fldChar w:fldCharType="separate"/>
      </w:r>
      <w:r w:rsidRPr="007B5BC7">
        <w:rPr>
          <w:rStyle w:val="Lienhypertexte"/>
          <w:rFonts w:asciiTheme="majorHAnsi" w:hAnsiTheme="majorHAnsi" w:cstheme="majorHAnsi"/>
        </w:rPr>
        <w:t>disponible ici</w:t>
      </w:r>
      <w:r w:rsidRPr="007B5BC7">
        <w:rPr>
          <w:rFonts w:asciiTheme="majorHAnsi" w:hAnsiTheme="majorHAnsi" w:cstheme="majorHAnsi"/>
        </w:rPr>
        <w:fldChar w:fldCharType="end"/>
      </w:r>
      <w:r w:rsidR="00595304">
        <w:rPr>
          <w:rStyle w:val="Appelnotedebasdep"/>
          <w:rFonts w:asciiTheme="majorHAnsi" w:hAnsiTheme="majorHAnsi" w:cstheme="majorHAnsi"/>
        </w:rPr>
        <w:footnoteReference w:id="6"/>
      </w:r>
      <w:r w:rsidRPr="007B5BC7">
        <w:rPr>
          <w:rFonts w:asciiTheme="majorHAnsi" w:hAnsiTheme="majorHAnsi" w:cstheme="majorHAnsi"/>
        </w:rPr>
        <w:t>)</w:t>
      </w:r>
      <w:bookmarkEnd w:id="1"/>
      <w:r w:rsidR="00574CD3">
        <w:rPr>
          <w:rFonts w:asciiTheme="majorHAnsi" w:hAnsiTheme="majorHAnsi" w:cstheme="majorHAnsi"/>
        </w:rPr>
        <w:t>.</w:t>
      </w:r>
    </w:p>
    <w:p w14:paraId="405ECF4E" w14:textId="77777777" w:rsidR="000B7EB7" w:rsidRDefault="000B7EB7" w:rsidP="000B7EB7">
      <w:pPr>
        <w:tabs>
          <w:tab w:val="left" w:pos="1307"/>
        </w:tabs>
        <w:jc w:val="both"/>
        <w:rPr>
          <w:rFonts w:asciiTheme="majorHAnsi" w:hAnsiTheme="majorHAnsi" w:cstheme="majorHAnsi"/>
        </w:rPr>
      </w:pPr>
    </w:p>
    <w:p w14:paraId="1043C0ED" w14:textId="77777777" w:rsidR="000B7EB7" w:rsidRPr="00777858" w:rsidRDefault="000B7EB7" w:rsidP="00777858">
      <w:pPr>
        <w:pStyle w:val="Paragraphedeliste"/>
        <w:numPr>
          <w:ilvl w:val="0"/>
          <w:numId w:val="19"/>
        </w:numPr>
        <w:tabs>
          <w:tab w:val="left" w:pos="1307"/>
        </w:tabs>
        <w:jc w:val="both"/>
        <w:rPr>
          <w:rFonts w:asciiTheme="majorHAnsi" w:hAnsiTheme="majorHAnsi" w:cstheme="majorHAnsi"/>
        </w:rPr>
      </w:pPr>
      <w:r w:rsidRPr="00777858">
        <w:rPr>
          <w:rFonts w:asciiTheme="majorHAnsi" w:hAnsiTheme="majorHAnsi" w:cstheme="majorHAnsi"/>
        </w:rPr>
        <w:t xml:space="preserve">La plateforme </w:t>
      </w:r>
      <w:hyperlink r:id="rId28" w:history="1">
        <w:r w:rsidRPr="00574CD3">
          <w:rPr>
            <w:rStyle w:val="Lienhypertexte"/>
            <w:rFonts w:asciiTheme="majorHAnsi" w:hAnsiTheme="majorHAnsi" w:cstheme="majorHAnsi"/>
          </w:rPr>
          <w:t>Funding&amp;Tenders</w:t>
        </w:r>
      </w:hyperlink>
      <w:r w:rsidRPr="00777858">
        <w:rPr>
          <w:rFonts w:asciiTheme="majorHAnsi" w:hAnsiTheme="majorHAnsi" w:cstheme="majorHAnsi"/>
        </w:rPr>
        <w:t xml:space="preserve"> regroupe un grand nombre d’éléments intéressants à consulter :</w:t>
      </w:r>
    </w:p>
    <w:p w14:paraId="124CF28E" w14:textId="77777777" w:rsidR="000B7EB7" w:rsidRDefault="000B7EB7" w:rsidP="000B7EB7">
      <w:pPr>
        <w:pStyle w:val="Paragraphedeliste"/>
        <w:numPr>
          <w:ilvl w:val="0"/>
          <w:numId w:val="20"/>
        </w:numPr>
        <w:tabs>
          <w:tab w:val="left" w:pos="1307"/>
        </w:tabs>
        <w:jc w:val="both"/>
        <w:rPr>
          <w:rFonts w:asciiTheme="majorHAnsi" w:hAnsiTheme="majorHAnsi" w:cstheme="majorHAnsi"/>
        </w:rPr>
      </w:pPr>
      <w:r>
        <w:rPr>
          <w:rFonts w:asciiTheme="majorHAnsi" w:hAnsiTheme="majorHAnsi" w:cstheme="majorHAnsi"/>
        </w:rPr>
        <w:t>Les documents de travail (programme de travail, trames de réponse, etc.)</w:t>
      </w:r>
    </w:p>
    <w:p w14:paraId="2D01FCBE" w14:textId="77777777" w:rsidR="000B7EB7" w:rsidRDefault="000B7EB7" w:rsidP="000B7EB7">
      <w:pPr>
        <w:pStyle w:val="Paragraphedeliste"/>
        <w:numPr>
          <w:ilvl w:val="0"/>
          <w:numId w:val="20"/>
        </w:numPr>
        <w:tabs>
          <w:tab w:val="left" w:pos="1307"/>
        </w:tabs>
        <w:jc w:val="both"/>
        <w:rPr>
          <w:rFonts w:asciiTheme="majorHAnsi" w:hAnsiTheme="majorHAnsi" w:cstheme="majorHAnsi"/>
        </w:rPr>
      </w:pPr>
      <w:r>
        <w:rPr>
          <w:rFonts w:asciiTheme="majorHAnsi" w:hAnsiTheme="majorHAnsi" w:cstheme="majorHAnsi"/>
        </w:rPr>
        <w:t>Les appels clos, à venir, et en cours</w:t>
      </w:r>
    </w:p>
    <w:p w14:paraId="4049BF9E" w14:textId="77777777" w:rsidR="000B7EB7" w:rsidRDefault="000B7EB7" w:rsidP="000B7EB7">
      <w:pPr>
        <w:pStyle w:val="Paragraphedeliste"/>
        <w:numPr>
          <w:ilvl w:val="0"/>
          <w:numId w:val="20"/>
        </w:numPr>
        <w:tabs>
          <w:tab w:val="left" w:pos="1307"/>
        </w:tabs>
        <w:jc w:val="both"/>
        <w:rPr>
          <w:rFonts w:asciiTheme="majorHAnsi" w:hAnsiTheme="majorHAnsi" w:cstheme="majorHAnsi"/>
        </w:rPr>
      </w:pPr>
      <w:r>
        <w:rPr>
          <w:rFonts w:asciiTheme="majorHAnsi" w:hAnsiTheme="majorHAnsi" w:cstheme="majorHAnsi"/>
        </w:rPr>
        <w:t xml:space="preserve">Un </w:t>
      </w:r>
      <w:hyperlink r:id="rId29" w:history="1">
        <w:r>
          <w:rPr>
            <w:rStyle w:val="Lienhypertexte"/>
            <w:rFonts w:asciiTheme="majorHAnsi" w:hAnsiTheme="majorHAnsi" w:cstheme="majorHAnsi"/>
          </w:rPr>
          <w:t>portail</w:t>
        </w:r>
      </w:hyperlink>
      <w:r>
        <w:rPr>
          <w:rFonts w:asciiTheme="majorHAnsi" w:hAnsiTheme="majorHAnsi" w:cstheme="majorHAnsi"/>
        </w:rPr>
        <w:t xml:space="preserve"> de recherche de partenaires</w:t>
      </w:r>
    </w:p>
    <w:p w14:paraId="6848EBE2" w14:textId="77777777" w:rsidR="000B7EB7" w:rsidRDefault="000B7EB7" w:rsidP="000B7EB7">
      <w:pPr>
        <w:tabs>
          <w:tab w:val="left" w:pos="1307"/>
        </w:tabs>
        <w:jc w:val="both"/>
      </w:pPr>
    </w:p>
    <w:p w14:paraId="508E34FC" w14:textId="77777777" w:rsidR="000B7EB7" w:rsidRDefault="000B7EB7" w:rsidP="000B7EB7">
      <w:pPr>
        <w:tabs>
          <w:tab w:val="left" w:pos="1307"/>
        </w:tabs>
        <w:jc w:val="both"/>
      </w:pPr>
      <w:r>
        <w:t xml:space="preserve">N’hésitez pas à consulter également le site internet Horizon Europe du </w:t>
      </w:r>
      <w:hyperlink r:id="rId30" w:history="1">
        <w:r>
          <w:rPr>
            <w:rStyle w:val="Lienhypertexte"/>
          </w:rPr>
          <w:t>MESRI</w:t>
        </w:r>
      </w:hyperlink>
      <w:r>
        <w:t xml:space="preserve">, ni celui de la </w:t>
      </w:r>
      <w:hyperlink r:id="rId31" w:history="1">
        <w:r>
          <w:rPr>
            <w:rStyle w:val="Lienhypertexte"/>
          </w:rPr>
          <w:t>Commission européenne</w:t>
        </w:r>
      </w:hyperlink>
      <w:r>
        <w:t>.</w:t>
      </w:r>
    </w:p>
    <w:p w14:paraId="7A93995C" w14:textId="77777777" w:rsidR="000B7EB7" w:rsidRDefault="000B7EB7" w:rsidP="000B7EB7">
      <w:pPr>
        <w:tabs>
          <w:tab w:val="left" w:pos="1307"/>
        </w:tabs>
        <w:jc w:val="both"/>
      </w:pPr>
    </w:p>
    <w:p w14:paraId="0B6F5B42" w14:textId="77777777" w:rsidR="000B7EB7" w:rsidRPr="007E3367" w:rsidRDefault="000B7EB7" w:rsidP="000B7EB7">
      <w:pPr>
        <w:tabs>
          <w:tab w:val="left" w:pos="1307"/>
        </w:tabs>
        <w:jc w:val="both"/>
      </w:pPr>
      <w:r>
        <w:t xml:space="preserve">Enfin, la plateforme Cordis recense tous les projets financés par le programme cadre depuis sa création en 1993, elle est disponible </w:t>
      </w:r>
      <w:hyperlink r:id="rId32" w:history="1">
        <w:r>
          <w:rPr>
            <w:rStyle w:val="Lienhypertexte"/>
          </w:rPr>
          <w:t>ici</w:t>
        </w:r>
      </w:hyperlink>
      <w:r>
        <w:t>.</w:t>
      </w:r>
    </w:p>
    <w:p w14:paraId="7C5D3FCC" w14:textId="77777777" w:rsidR="001E485D" w:rsidRDefault="001E485D" w:rsidP="002A78F5">
      <w:pPr>
        <w:pBdr>
          <w:top w:val="nil"/>
          <w:left w:val="nil"/>
          <w:bottom w:val="nil"/>
          <w:right w:val="nil"/>
          <w:between w:val="nil"/>
        </w:pBdr>
        <w:tabs>
          <w:tab w:val="left" w:pos="1307"/>
        </w:tabs>
        <w:jc w:val="both"/>
        <w:rPr>
          <w:color w:val="000000"/>
        </w:rPr>
      </w:pPr>
    </w:p>
    <w:p w14:paraId="7C4A7FC2" w14:textId="1D0619B1" w:rsidR="00B34036" w:rsidRDefault="001E485D" w:rsidP="007E443E">
      <w:pPr>
        <w:jc w:val="both"/>
      </w:pPr>
      <w:r>
        <w:t>Attention : p</w:t>
      </w:r>
      <w:r w:rsidR="002A78F5">
        <w:t>our la majorité des appels à projet</w:t>
      </w:r>
      <w:r w:rsidR="00574CD3">
        <w:t>s</w:t>
      </w:r>
      <w:r w:rsidR="002A78F5">
        <w:t xml:space="preserve">, </w:t>
      </w:r>
      <w:r w:rsidR="002A78F5" w:rsidRPr="00281F8C">
        <w:rPr>
          <w:b/>
          <w:bCs/>
          <w:u w:val="single"/>
        </w:rPr>
        <w:t>il n’y a qu’une seule date de prévue</w:t>
      </w:r>
      <w:r w:rsidR="00817282">
        <w:t xml:space="preserve"> pour la période 2021-2022</w:t>
      </w:r>
      <w:r w:rsidR="002A78F5">
        <w:t>.</w:t>
      </w:r>
      <w:r w:rsidR="009E5C31">
        <w:t xml:space="preserve"> Chaque appel à projet</w:t>
      </w:r>
      <w:r w:rsidR="00574CD3">
        <w:t>s</w:t>
      </w:r>
      <w:r w:rsidR="009E5C31">
        <w:t xml:space="preserve">, chaque « topic » </w:t>
      </w:r>
      <w:r w:rsidR="00817282">
        <w:t>a</w:t>
      </w:r>
      <w:r w:rsidR="009E5C31">
        <w:t xml:space="preserve"> sa propre date de clôture, si un sujet semble intéressant il faut donc se renseigner précisément pour ce topic.</w:t>
      </w:r>
    </w:p>
    <w:p w14:paraId="602EDE57" w14:textId="01148DB8" w:rsidR="00CA2151" w:rsidRDefault="00CA2151" w:rsidP="00D8735B">
      <w:pPr>
        <w:pBdr>
          <w:top w:val="nil"/>
          <w:left w:val="nil"/>
          <w:bottom w:val="nil"/>
          <w:right w:val="nil"/>
          <w:between w:val="nil"/>
        </w:pBdr>
        <w:tabs>
          <w:tab w:val="left" w:pos="1307"/>
        </w:tabs>
        <w:jc w:val="both"/>
      </w:pPr>
    </w:p>
    <w:p w14:paraId="0C8D84B8" w14:textId="557326A1" w:rsidR="00CA2151" w:rsidRDefault="00CA2151" w:rsidP="00D8735B">
      <w:pPr>
        <w:pBdr>
          <w:top w:val="nil"/>
          <w:left w:val="nil"/>
          <w:bottom w:val="nil"/>
          <w:right w:val="nil"/>
          <w:between w:val="nil"/>
        </w:pBdr>
        <w:tabs>
          <w:tab w:val="left" w:pos="1307"/>
        </w:tabs>
        <w:jc w:val="both"/>
      </w:pPr>
      <w:r>
        <w:t xml:space="preserve">D’autres appels seront prévus sur la période 2023-2024 et seront connus </w:t>
      </w:r>
      <w:r w:rsidR="00731FF2">
        <w:t xml:space="preserve">courant </w:t>
      </w:r>
      <w:r>
        <w:t>2022</w:t>
      </w:r>
      <w:r w:rsidR="00B370F5">
        <w:t xml:space="preserve"> mais pourront porter sur des sujets différents.</w:t>
      </w:r>
    </w:p>
    <w:sectPr w:rsidR="00CA2151">
      <w:headerReference w:type="default" r:id="rId33"/>
      <w:footerReference w:type="even" r:id="rId34"/>
      <w:footerReference w:type="default" r:id="rId35"/>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A1D63" w14:textId="77777777" w:rsidR="007C303F" w:rsidRDefault="007C303F">
      <w:r>
        <w:separator/>
      </w:r>
    </w:p>
  </w:endnote>
  <w:endnote w:type="continuationSeparator" w:id="0">
    <w:p w14:paraId="65BF269F" w14:textId="77777777" w:rsidR="007C303F" w:rsidRDefault="007C3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Times New Roman"/>
    <w:panose1 w:val="020B0604020202020204"/>
    <w:charset w:val="00"/>
    <w:family w:val="auto"/>
    <w:pitch w:val="default"/>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mo">
    <w:panose1 w:val="020B0604020202020204"/>
    <w:charset w:val="00"/>
    <w:family w:val="swiss"/>
    <w:pitch w:val="variable"/>
    <w:sig w:usb0="E0000AFF" w:usb1="500078FF" w:usb2="00000021" w:usb3="00000000" w:csb0="000001BF" w:csb1="00000000"/>
  </w:font>
  <w:font w:name="Times New Roman (Corps CS)">
    <w:altName w:val="Times New Roman"/>
    <w:panose1 w:val="020B0604020202020204"/>
    <w:charset w:val="00"/>
    <w:family w:val="roman"/>
    <w:pitch w:val="default"/>
  </w:font>
  <w:font w:name="Trajan Pro">
    <w:altName w:val="﷽﷽﷽﷽﷽﷽﷽﷽ro"/>
    <w:panose1 w:val="02020502050506020301"/>
    <w:charset w:val="4D"/>
    <w:family w:val="roman"/>
    <w:notTrueType/>
    <w:pitch w:val="variable"/>
    <w:sig w:usb0="00000007" w:usb1="00000000" w:usb2="00000000" w:usb3="00000000" w:csb0="00000093" w:csb1="00000000"/>
  </w:font>
  <w:font w:name="Lucida Grande">
    <w:altName w:val="﷽﷽﷽﷽﷽﷽﷽﷽"/>
    <w:panose1 w:val="020B0600040502020204"/>
    <w:charset w:val="00"/>
    <w:family w:val="swiss"/>
    <w:pitch w:val="variable"/>
    <w:sig w:usb0="E1000AEF" w:usb1="5000A1FF" w:usb2="00000000" w:usb3="00000000" w:csb0="000001BF" w:csb1="00000000"/>
  </w:font>
  <w:font w:name="Georgia">
    <w:altName w:val="﷽﷽﷽﷽﷽﷽﷽﷽ꗰ怀"/>
    <w:panose1 w:val="02040502050405020303"/>
    <w:charset w:val="00"/>
    <w:family w:val="roman"/>
    <w:pitch w:val="variable"/>
    <w:sig w:usb0="00000287" w:usb1="00000000" w:usb2="00000000" w:usb3="00000000" w:csb0="0000009F" w:csb1="00000000"/>
  </w:font>
  <w:font w:name="Orator Std">
    <w:altName w:val="﷽﷽﷽﷽﷽﷽﷽﷽"/>
    <w:panose1 w:val="020D0509020203030204"/>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6" w14:textId="77777777" w:rsidR="004747D5" w:rsidRDefault="004747D5">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4747D5" w:rsidRDefault="004747D5">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8" w14:textId="2B1C0C0D" w:rsidR="004747D5" w:rsidRDefault="004747D5">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4747D5" w14:paraId="4046B859" w14:textId="77777777">
      <w:tc>
        <w:tcPr>
          <w:tcW w:w="1661" w:type="dxa"/>
        </w:tcPr>
        <w:p w14:paraId="00000049" w14:textId="77777777" w:rsidR="004747D5" w:rsidRDefault="004747D5">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4747D5" w:rsidRDefault="004747D5">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4747D5" w:rsidRDefault="004747D5">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4747D5" w:rsidRDefault="004747D5">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4A513" w14:textId="77777777" w:rsidR="007C303F" w:rsidRDefault="007C303F">
      <w:r>
        <w:separator/>
      </w:r>
    </w:p>
  </w:footnote>
  <w:footnote w:type="continuationSeparator" w:id="0">
    <w:p w14:paraId="0D417F84" w14:textId="77777777" w:rsidR="007C303F" w:rsidRDefault="007C303F">
      <w:r>
        <w:continuationSeparator/>
      </w:r>
    </w:p>
  </w:footnote>
  <w:footnote w:id="1">
    <w:p w14:paraId="2C1AFEDA" w14:textId="3BB920C9" w:rsidR="004747D5" w:rsidRDefault="004747D5" w:rsidP="008541A1">
      <w:pPr>
        <w:pStyle w:val="Notedebasdepage"/>
      </w:pPr>
      <w:r>
        <w:rPr>
          <w:rStyle w:val="Appelnotedebasdep"/>
        </w:rPr>
        <w:footnoteRef/>
      </w:r>
      <w:r>
        <w:t xml:space="preserve"> Cette présentation est une présentation simplifiée, d’autres types de coûts pouvant être éligibles selon le volet où l’on se situe, mais est la présentation la plus commune pour les projets du pilier 2.</w:t>
      </w:r>
    </w:p>
  </w:footnote>
  <w:footnote w:id="2">
    <w:p w14:paraId="22AFC558" w14:textId="77777777" w:rsidR="004747D5" w:rsidRDefault="004747D5" w:rsidP="008541A1">
      <w:pPr>
        <w:pStyle w:val="Notedebasdepage"/>
      </w:pPr>
      <w:r>
        <w:rPr>
          <w:rStyle w:val="Appelnotedebasdep"/>
        </w:rPr>
        <w:footnoteRef/>
      </w:r>
      <w:r>
        <w:t xml:space="preserve"> Voir la fiche « HE – Présentation générale » pour la définition des différentes catégories de participants</w:t>
      </w:r>
    </w:p>
  </w:footnote>
  <w:footnote w:id="3">
    <w:p w14:paraId="4C3273C5" w14:textId="77777777" w:rsidR="004747D5" w:rsidRDefault="004747D5" w:rsidP="008541A1">
      <w:pPr>
        <w:pStyle w:val="Notedebasdepage"/>
      </w:pPr>
      <w:r>
        <w:rPr>
          <w:rStyle w:val="Appelnotedebasdep"/>
        </w:rPr>
        <w:footnoteRef/>
      </w:r>
      <w:r>
        <w:t xml:space="preserve"> Pour 2014-2020, 123 pays étaient concernés, le programme couvre donc quasiment l’ensemble des Etats existants.</w:t>
      </w:r>
    </w:p>
  </w:footnote>
  <w:footnote w:id="4">
    <w:p w14:paraId="33A43CEC" w14:textId="77777777" w:rsidR="001603DD" w:rsidRDefault="001603DD" w:rsidP="001603DD">
      <w:pPr>
        <w:pStyle w:val="Notedebasdepage"/>
      </w:pPr>
      <w:r>
        <w:rPr>
          <w:rStyle w:val="Appelnotedebasdep"/>
        </w:rPr>
        <w:footnoteRef/>
      </w:r>
      <w:r>
        <w:t xml:space="preserve"> Il s’agit d’un lien vers une version provisoire de la convention de subvention, il conviendra de consulter la version finale lorsqu’elle sera publiée.</w:t>
      </w:r>
    </w:p>
  </w:footnote>
  <w:footnote w:id="5">
    <w:p w14:paraId="77F363A1" w14:textId="77777777" w:rsidR="001603DD" w:rsidRDefault="001603DD" w:rsidP="001603DD">
      <w:pPr>
        <w:pStyle w:val="Notedebasdepage"/>
      </w:pPr>
      <w:r>
        <w:rPr>
          <w:rStyle w:val="Appelnotedebasdep"/>
        </w:rPr>
        <w:footnoteRef/>
      </w:r>
      <w:r>
        <w:t xml:space="preserve"> Il s’agit de fiches explicatives relatives au programme Horizon 2020. Il conviendra de consulter celles relatives à Horizon Europe dès qu’elles seront disponibles sur </w:t>
      </w:r>
      <w:hyperlink r:id="rId1" w:history="1">
        <w:r w:rsidRPr="00877C03">
          <w:rPr>
            <w:rStyle w:val="Lienhypertexte"/>
          </w:rPr>
          <w:t>le site du Ministère de l’Enseignement supérieur, de la recherche et de l’innovation</w:t>
        </w:r>
      </w:hyperlink>
      <w:r>
        <w:t>.</w:t>
      </w:r>
    </w:p>
  </w:footnote>
  <w:footnote w:id="6">
    <w:p w14:paraId="6917EE35" w14:textId="6E4552DE" w:rsidR="00595304" w:rsidRDefault="00595304">
      <w:pPr>
        <w:pStyle w:val="Notedebasdepage"/>
      </w:pPr>
      <w:r>
        <w:rPr>
          <w:rStyle w:val="Appelnotedebasdep"/>
        </w:rPr>
        <w:footnoteRef/>
      </w:r>
      <w:r>
        <w:t xml:space="preserve"> </w:t>
      </w:r>
      <w:r w:rsidR="001603DD">
        <w:t>Il s’agit d’une version provisoire, il conviendra de consulter la version définitive lorsqu’elle sera publiée.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5" w14:textId="77777777" w:rsidR="004747D5" w:rsidRDefault="004747D5">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8486D"/>
    <w:multiLevelType w:val="hybridMultilevel"/>
    <w:tmpl w:val="58E0EE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761134"/>
    <w:multiLevelType w:val="hybridMultilevel"/>
    <w:tmpl w:val="4AAAB822"/>
    <w:lvl w:ilvl="0" w:tplc="CC880452">
      <w:start w:val="7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E2423F"/>
    <w:multiLevelType w:val="hybridMultilevel"/>
    <w:tmpl w:val="4F6412B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2FD373"/>
    <w:multiLevelType w:val="hybridMultilevel"/>
    <w:tmpl w:val="1EF987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A9D5E5C"/>
    <w:multiLevelType w:val="hybridMultilevel"/>
    <w:tmpl w:val="67AA5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454A1F"/>
    <w:multiLevelType w:val="hybridMultilevel"/>
    <w:tmpl w:val="9ED26C3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ED2293"/>
    <w:multiLevelType w:val="hybridMultilevel"/>
    <w:tmpl w:val="4E8832F2"/>
    <w:lvl w:ilvl="0" w:tplc="9D8206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5D6595"/>
    <w:multiLevelType w:val="hybridMultilevel"/>
    <w:tmpl w:val="445E23D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5BB4BBC"/>
    <w:multiLevelType w:val="hybridMultilevel"/>
    <w:tmpl w:val="6E90ECAC"/>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B562C0"/>
    <w:multiLevelType w:val="hybridMultilevel"/>
    <w:tmpl w:val="44EA4ECC"/>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677226"/>
    <w:multiLevelType w:val="hybridMultilevel"/>
    <w:tmpl w:val="010CA858"/>
    <w:lvl w:ilvl="0" w:tplc="3020C8FC">
      <w:start w:val="6"/>
      <w:numFmt w:val="decimal"/>
      <w:lvlText w:val="%1&gt;"/>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985A73"/>
    <w:multiLevelType w:val="hybridMultilevel"/>
    <w:tmpl w:val="50043CC8"/>
    <w:lvl w:ilvl="0" w:tplc="A32C6FB0">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1B6F03"/>
    <w:multiLevelType w:val="hybridMultilevel"/>
    <w:tmpl w:val="036CABC0"/>
    <w:lvl w:ilvl="0" w:tplc="7F9E781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40EA01A3"/>
    <w:multiLevelType w:val="hybridMultilevel"/>
    <w:tmpl w:val="10108AA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E363FD9"/>
    <w:multiLevelType w:val="hybridMultilevel"/>
    <w:tmpl w:val="6D3893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326110"/>
    <w:multiLevelType w:val="hybridMultilevel"/>
    <w:tmpl w:val="774E8B02"/>
    <w:lvl w:ilvl="0" w:tplc="71FC6CD4">
      <w:start w:val="20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A279B8"/>
    <w:multiLevelType w:val="hybridMultilevel"/>
    <w:tmpl w:val="D55843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492B94"/>
    <w:multiLevelType w:val="hybridMultilevel"/>
    <w:tmpl w:val="4DAE8EE0"/>
    <w:lvl w:ilvl="0" w:tplc="E2F0A17A">
      <w:start w:val="6"/>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662148C6"/>
    <w:multiLevelType w:val="hybridMultilevel"/>
    <w:tmpl w:val="F920F72E"/>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67CF492E"/>
    <w:multiLevelType w:val="hybridMultilevel"/>
    <w:tmpl w:val="000E666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DE002D3"/>
    <w:multiLevelType w:val="hybridMultilevel"/>
    <w:tmpl w:val="08F62E66"/>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CA635A"/>
    <w:multiLevelType w:val="hybridMultilevel"/>
    <w:tmpl w:val="A4FCC258"/>
    <w:lvl w:ilvl="0" w:tplc="E76A87C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CB7CD8"/>
    <w:multiLevelType w:val="hybridMultilevel"/>
    <w:tmpl w:val="A7760B0A"/>
    <w:lvl w:ilvl="0" w:tplc="25547AF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F4116C"/>
    <w:multiLevelType w:val="hybridMultilevel"/>
    <w:tmpl w:val="15FE1AA0"/>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9">
      <w:start w:val="1"/>
      <w:numFmt w:val="bullet"/>
      <w:lvlText w:val=""/>
      <w:lvlJc w:val="left"/>
      <w:pPr>
        <w:ind w:left="3600" w:hanging="360"/>
      </w:pPr>
      <w:rPr>
        <w:rFonts w:ascii="Wingdings" w:hAnsi="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617132"/>
    <w:multiLevelType w:val="hybridMultilevel"/>
    <w:tmpl w:val="FCECB2D8"/>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4"/>
  </w:num>
  <w:num w:numId="2">
    <w:abstractNumId w:val="24"/>
  </w:num>
  <w:num w:numId="3">
    <w:abstractNumId w:val="15"/>
  </w:num>
  <w:num w:numId="4">
    <w:abstractNumId w:val="26"/>
  </w:num>
  <w:num w:numId="5">
    <w:abstractNumId w:val="6"/>
  </w:num>
  <w:num w:numId="6">
    <w:abstractNumId w:val="16"/>
  </w:num>
  <w:num w:numId="7">
    <w:abstractNumId w:val="20"/>
  </w:num>
  <w:num w:numId="8">
    <w:abstractNumId w:val="17"/>
  </w:num>
  <w:num w:numId="9">
    <w:abstractNumId w:val="7"/>
  </w:num>
  <w:num w:numId="10">
    <w:abstractNumId w:val="30"/>
  </w:num>
  <w:num w:numId="11">
    <w:abstractNumId w:val="19"/>
  </w:num>
  <w:num w:numId="12">
    <w:abstractNumId w:val="18"/>
  </w:num>
  <w:num w:numId="13">
    <w:abstractNumId w:val="25"/>
  </w:num>
  <w:num w:numId="14">
    <w:abstractNumId w:val="9"/>
  </w:num>
  <w:num w:numId="15">
    <w:abstractNumId w:val="1"/>
  </w:num>
  <w:num w:numId="16">
    <w:abstractNumId w:val="31"/>
  </w:num>
  <w:num w:numId="17">
    <w:abstractNumId w:val="3"/>
  </w:num>
  <w:num w:numId="18">
    <w:abstractNumId w:val="4"/>
  </w:num>
  <w:num w:numId="19">
    <w:abstractNumId w:val="32"/>
  </w:num>
  <w:num w:numId="20">
    <w:abstractNumId w:val="10"/>
  </w:num>
  <w:num w:numId="21">
    <w:abstractNumId w:val="11"/>
  </w:num>
  <w:num w:numId="22">
    <w:abstractNumId w:val="23"/>
  </w:num>
  <w:num w:numId="23">
    <w:abstractNumId w:val="28"/>
  </w:num>
  <w:num w:numId="24">
    <w:abstractNumId w:val="13"/>
  </w:num>
  <w:num w:numId="25">
    <w:abstractNumId w:val="0"/>
  </w:num>
  <w:num w:numId="26">
    <w:abstractNumId w:val="12"/>
  </w:num>
  <w:num w:numId="27">
    <w:abstractNumId w:val="29"/>
  </w:num>
  <w:num w:numId="28">
    <w:abstractNumId w:val="21"/>
  </w:num>
  <w:num w:numId="29">
    <w:abstractNumId w:val="22"/>
  </w:num>
  <w:num w:numId="30">
    <w:abstractNumId w:val="8"/>
  </w:num>
  <w:num w:numId="31">
    <w:abstractNumId w:val="27"/>
  </w:num>
  <w:num w:numId="32">
    <w:abstractNumId w:val="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158C"/>
    <w:rsid w:val="000067BF"/>
    <w:rsid w:val="00017C8C"/>
    <w:rsid w:val="00020A1E"/>
    <w:rsid w:val="000211E3"/>
    <w:rsid w:val="00027218"/>
    <w:rsid w:val="000367C8"/>
    <w:rsid w:val="00036ADE"/>
    <w:rsid w:val="000501C9"/>
    <w:rsid w:val="00052294"/>
    <w:rsid w:val="000550DA"/>
    <w:rsid w:val="0006451C"/>
    <w:rsid w:val="00071F7F"/>
    <w:rsid w:val="00083EEF"/>
    <w:rsid w:val="00085DFA"/>
    <w:rsid w:val="00091FAB"/>
    <w:rsid w:val="000A1441"/>
    <w:rsid w:val="000A582C"/>
    <w:rsid w:val="000B3736"/>
    <w:rsid w:val="000B7EB7"/>
    <w:rsid w:val="000C048B"/>
    <w:rsid w:val="000C5CDB"/>
    <w:rsid w:val="000C68C5"/>
    <w:rsid w:val="000C705F"/>
    <w:rsid w:val="000E7C99"/>
    <w:rsid w:val="000F0AB7"/>
    <w:rsid w:val="000F49AD"/>
    <w:rsid w:val="000F6A4A"/>
    <w:rsid w:val="00105A42"/>
    <w:rsid w:val="00113865"/>
    <w:rsid w:val="001176B6"/>
    <w:rsid w:val="001454A3"/>
    <w:rsid w:val="00150539"/>
    <w:rsid w:val="001603DD"/>
    <w:rsid w:val="00177B04"/>
    <w:rsid w:val="00181B2F"/>
    <w:rsid w:val="00182A58"/>
    <w:rsid w:val="00182DC6"/>
    <w:rsid w:val="00192506"/>
    <w:rsid w:val="001A7E43"/>
    <w:rsid w:val="001B1D7A"/>
    <w:rsid w:val="001C53C5"/>
    <w:rsid w:val="001C6897"/>
    <w:rsid w:val="001D320D"/>
    <w:rsid w:val="001E0740"/>
    <w:rsid w:val="001E0B9F"/>
    <w:rsid w:val="001E485D"/>
    <w:rsid w:val="00200CDF"/>
    <w:rsid w:val="002169C5"/>
    <w:rsid w:val="00223FD4"/>
    <w:rsid w:val="00224C99"/>
    <w:rsid w:val="00227556"/>
    <w:rsid w:val="00231DC4"/>
    <w:rsid w:val="00241FD0"/>
    <w:rsid w:val="00252C72"/>
    <w:rsid w:val="00255E32"/>
    <w:rsid w:val="002719CA"/>
    <w:rsid w:val="00276567"/>
    <w:rsid w:val="002817C7"/>
    <w:rsid w:val="00281F8C"/>
    <w:rsid w:val="002846E5"/>
    <w:rsid w:val="002A1188"/>
    <w:rsid w:val="002A78F5"/>
    <w:rsid w:val="002C7637"/>
    <w:rsid w:val="002E1ABA"/>
    <w:rsid w:val="002E5A94"/>
    <w:rsid w:val="002E77CC"/>
    <w:rsid w:val="002F0EBF"/>
    <w:rsid w:val="002F0F60"/>
    <w:rsid w:val="002F1E2B"/>
    <w:rsid w:val="003112CA"/>
    <w:rsid w:val="003125A7"/>
    <w:rsid w:val="003220F0"/>
    <w:rsid w:val="00322FBE"/>
    <w:rsid w:val="003254FC"/>
    <w:rsid w:val="0035511D"/>
    <w:rsid w:val="00367484"/>
    <w:rsid w:val="00377899"/>
    <w:rsid w:val="0038550A"/>
    <w:rsid w:val="00390893"/>
    <w:rsid w:val="003A5ED3"/>
    <w:rsid w:val="003A6C75"/>
    <w:rsid w:val="003B4E1D"/>
    <w:rsid w:val="003C627E"/>
    <w:rsid w:val="003D5CA5"/>
    <w:rsid w:val="003F2AAE"/>
    <w:rsid w:val="003F659C"/>
    <w:rsid w:val="0040396C"/>
    <w:rsid w:val="00405775"/>
    <w:rsid w:val="00407FC5"/>
    <w:rsid w:val="004334E5"/>
    <w:rsid w:val="00434A95"/>
    <w:rsid w:val="0044181E"/>
    <w:rsid w:val="00443D1C"/>
    <w:rsid w:val="00446515"/>
    <w:rsid w:val="0045450E"/>
    <w:rsid w:val="00463F1B"/>
    <w:rsid w:val="004747D5"/>
    <w:rsid w:val="00482D6F"/>
    <w:rsid w:val="004A3A71"/>
    <w:rsid w:val="004B63C1"/>
    <w:rsid w:val="004C21F8"/>
    <w:rsid w:val="004C2558"/>
    <w:rsid w:val="004D2F57"/>
    <w:rsid w:val="004D5E73"/>
    <w:rsid w:val="004E2FEF"/>
    <w:rsid w:val="004E37B8"/>
    <w:rsid w:val="004F20C6"/>
    <w:rsid w:val="004F5D78"/>
    <w:rsid w:val="00500E3D"/>
    <w:rsid w:val="005044A5"/>
    <w:rsid w:val="00506E5D"/>
    <w:rsid w:val="00507DF9"/>
    <w:rsid w:val="0053307B"/>
    <w:rsid w:val="00570A71"/>
    <w:rsid w:val="00571185"/>
    <w:rsid w:val="00574CD3"/>
    <w:rsid w:val="0057516A"/>
    <w:rsid w:val="00595304"/>
    <w:rsid w:val="005A3619"/>
    <w:rsid w:val="005B4441"/>
    <w:rsid w:val="005C640E"/>
    <w:rsid w:val="00622E41"/>
    <w:rsid w:val="00623140"/>
    <w:rsid w:val="00642483"/>
    <w:rsid w:val="00643535"/>
    <w:rsid w:val="006557C7"/>
    <w:rsid w:val="00656F13"/>
    <w:rsid w:val="00662E22"/>
    <w:rsid w:val="0066772C"/>
    <w:rsid w:val="00675651"/>
    <w:rsid w:val="00676D7A"/>
    <w:rsid w:val="006863C1"/>
    <w:rsid w:val="006A40AC"/>
    <w:rsid w:val="006B1E5C"/>
    <w:rsid w:val="006B5D66"/>
    <w:rsid w:val="006B7057"/>
    <w:rsid w:val="006B7247"/>
    <w:rsid w:val="006D5ACF"/>
    <w:rsid w:val="0070189B"/>
    <w:rsid w:val="007037E3"/>
    <w:rsid w:val="00716A75"/>
    <w:rsid w:val="00731638"/>
    <w:rsid w:val="007317A5"/>
    <w:rsid w:val="00731FF2"/>
    <w:rsid w:val="00734C73"/>
    <w:rsid w:val="00735FFB"/>
    <w:rsid w:val="00745DD4"/>
    <w:rsid w:val="007527A1"/>
    <w:rsid w:val="00777858"/>
    <w:rsid w:val="0078194C"/>
    <w:rsid w:val="0079149A"/>
    <w:rsid w:val="0079310B"/>
    <w:rsid w:val="007A23FA"/>
    <w:rsid w:val="007A5979"/>
    <w:rsid w:val="007A6922"/>
    <w:rsid w:val="007A6B89"/>
    <w:rsid w:val="007B2C02"/>
    <w:rsid w:val="007B3FEC"/>
    <w:rsid w:val="007B5BC7"/>
    <w:rsid w:val="007C303F"/>
    <w:rsid w:val="007C72AB"/>
    <w:rsid w:val="007D3700"/>
    <w:rsid w:val="007D585E"/>
    <w:rsid w:val="007E443E"/>
    <w:rsid w:val="007E7978"/>
    <w:rsid w:val="008020FD"/>
    <w:rsid w:val="00816FC4"/>
    <w:rsid w:val="00817282"/>
    <w:rsid w:val="00821306"/>
    <w:rsid w:val="00822E88"/>
    <w:rsid w:val="008321C6"/>
    <w:rsid w:val="00845095"/>
    <w:rsid w:val="00846665"/>
    <w:rsid w:val="008541A1"/>
    <w:rsid w:val="008549AC"/>
    <w:rsid w:val="008601D1"/>
    <w:rsid w:val="00874D0E"/>
    <w:rsid w:val="008818D4"/>
    <w:rsid w:val="00890EA5"/>
    <w:rsid w:val="008C1151"/>
    <w:rsid w:val="008E782D"/>
    <w:rsid w:val="008F0FCD"/>
    <w:rsid w:val="008F7158"/>
    <w:rsid w:val="00932D39"/>
    <w:rsid w:val="00944018"/>
    <w:rsid w:val="009469F2"/>
    <w:rsid w:val="00951471"/>
    <w:rsid w:val="009547BF"/>
    <w:rsid w:val="00970B08"/>
    <w:rsid w:val="0097290A"/>
    <w:rsid w:val="00980C13"/>
    <w:rsid w:val="0098517B"/>
    <w:rsid w:val="00990312"/>
    <w:rsid w:val="00992BB6"/>
    <w:rsid w:val="009A1CD0"/>
    <w:rsid w:val="009A5271"/>
    <w:rsid w:val="009A7176"/>
    <w:rsid w:val="009B1F2E"/>
    <w:rsid w:val="009B57F0"/>
    <w:rsid w:val="009C5C73"/>
    <w:rsid w:val="009D2BC8"/>
    <w:rsid w:val="009E5C31"/>
    <w:rsid w:val="009F646F"/>
    <w:rsid w:val="00A04130"/>
    <w:rsid w:val="00A45FD9"/>
    <w:rsid w:val="00A543DF"/>
    <w:rsid w:val="00A56DC1"/>
    <w:rsid w:val="00A714EE"/>
    <w:rsid w:val="00A72C65"/>
    <w:rsid w:val="00A80197"/>
    <w:rsid w:val="00A94F6A"/>
    <w:rsid w:val="00A9537C"/>
    <w:rsid w:val="00A95997"/>
    <w:rsid w:val="00AC2A60"/>
    <w:rsid w:val="00AC30C8"/>
    <w:rsid w:val="00AC4C80"/>
    <w:rsid w:val="00AD1A08"/>
    <w:rsid w:val="00AD4300"/>
    <w:rsid w:val="00AD79D0"/>
    <w:rsid w:val="00AE41F4"/>
    <w:rsid w:val="00AE47E0"/>
    <w:rsid w:val="00AE559F"/>
    <w:rsid w:val="00AE77CB"/>
    <w:rsid w:val="00AF0D4A"/>
    <w:rsid w:val="00B01A8C"/>
    <w:rsid w:val="00B04E17"/>
    <w:rsid w:val="00B07F25"/>
    <w:rsid w:val="00B16B14"/>
    <w:rsid w:val="00B26019"/>
    <w:rsid w:val="00B34036"/>
    <w:rsid w:val="00B35959"/>
    <w:rsid w:val="00B370F5"/>
    <w:rsid w:val="00B37B5F"/>
    <w:rsid w:val="00B40AF9"/>
    <w:rsid w:val="00B5321A"/>
    <w:rsid w:val="00B614BE"/>
    <w:rsid w:val="00B728C2"/>
    <w:rsid w:val="00B74ED9"/>
    <w:rsid w:val="00B75740"/>
    <w:rsid w:val="00B96ACF"/>
    <w:rsid w:val="00BC6FCF"/>
    <w:rsid w:val="00BD33BD"/>
    <w:rsid w:val="00BE0CCE"/>
    <w:rsid w:val="00C00CE0"/>
    <w:rsid w:val="00C011C2"/>
    <w:rsid w:val="00C07647"/>
    <w:rsid w:val="00C1294F"/>
    <w:rsid w:val="00C2165E"/>
    <w:rsid w:val="00C303C5"/>
    <w:rsid w:val="00C421C2"/>
    <w:rsid w:val="00C5367B"/>
    <w:rsid w:val="00C554F4"/>
    <w:rsid w:val="00C57C5D"/>
    <w:rsid w:val="00C86164"/>
    <w:rsid w:val="00C966F7"/>
    <w:rsid w:val="00CA2151"/>
    <w:rsid w:val="00CA67B5"/>
    <w:rsid w:val="00CC781C"/>
    <w:rsid w:val="00CD7C67"/>
    <w:rsid w:val="00CE2E5D"/>
    <w:rsid w:val="00CF78F1"/>
    <w:rsid w:val="00D0105A"/>
    <w:rsid w:val="00D16390"/>
    <w:rsid w:val="00D241CC"/>
    <w:rsid w:val="00D24546"/>
    <w:rsid w:val="00D24610"/>
    <w:rsid w:val="00D34CB7"/>
    <w:rsid w:val="00D41765"/>
    <w:rsid w:val="00D8735B"/>
    <w:rsid w:val="00DB7F13"/>
    <w:rsid w:val="00DC2689"/>
    <w:rsid w:val="00DD3405"/>
    <w:rsid w:val="00DD40CB"/>
    <w:rsid w:val="00DE4FEF"/>
    <w:rsid w:val="00DF42FE"/>
    <w:rsid w:val="00E063E0"/>
    <w:rsid w:val="00E0792B"/>
    <w:rsid w:val="00E11B7D"/>
    <w:rsid w:val="00E20F29"/>
    <w:rsid w:val="00E25056"/>
    <w:rsid w:val="00E310D8"/>
    <w:rsid w:val="00E3268A"/>
    <w:rsid w:val="00E35DE0"/>
    <w:rsid w:val="00E41CC8"/>
    <w:rsid w:val="00E52D3E"/>
    <w:rsid w:val="00E55ECF"/>
    <w:rsid w:val="00E73BD8"/>
    <w:rsid w:val="00E77CE0"/>
    <w:rsid w:val="00E854F9"/>
    <w:rsid w:val="00E94CE8"/>
    <w:rsid w:val="00EA1BEA"/>
    <w:rsid w:val="00EA2383"/>
    <w:rsid w:val="00EA7544"/>
    <w:rsid w:val="00EB0CEC"/>
    <w:rsid w:val="00EC0748"/>
    <w:rsid w:val="00ED54BF"/>
    <w:rsid w:val="00EF55E6"/>
    <w:rsid w:val="00F00CCE"/>
    <w:rsid w:val="00F0696C"/>
    <w:rsid w:val="00F07F6B"/>
    <w:rsid w:val="00F136AF"/>
    <w:rsid w:val="00F26352"/>
    <w:rsid w:val="00F34CA9"/>
    <w:rsid w:val="00F81B38"/>
    <w:rsid w:val="00F85EDD"/>
    <w:rsid w:val="00FA5F92"/>
    <w:rsid w:val="00FC3082"/>
    <w:rsid w:val="00FD2461"/>
    <w:rsid w:val="00FD2D44"/>
    <w:rsid w:val="00FE4BC6"/>
    <w:rsid w:val="00FF0D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customStyle="1" w:styleId="Default">
    <w:name w:val="Default"/>
    <w:rsid w:val="00AD43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2816772">
      <w:bodyDiv w:val="1"/>
      <w:marLeft w:val="0"/>
      <w:marRight w:val="0"/>
      <w:marTop w:val="0"/>
      <w:marBottom w:val="0"/>
      <w:divBdr>
        <w:top w:val="none" w:sz="0" w:space="0" w:color="auto"/>
        <w:left w:val="none" w:sz="0" w:space="0" w:color="auto"/>
        <w:bottom w:val="none" w:sz="0" w:space="0" w:color="auto"/>
        <w:right w:val="none" w:sz="0" w:space="0" w:color="auto"/>
      </w:divBdr>
    </w:div>
    <w:div w:id="1182823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horizon2020.gouv.fr/cid76866/liste-des-pays-associes-horizon-2020.html" TargetMode="External"/><Relationship Id="rId18" Type="http://schemas.openxmlformats.org/officeDocument/2006/relationships/hyperlink" Target="mailto:info@unalab.eu" TargetMode="External"/><Relationship Id="rId26" Type="http://schemas.openxmlformats.org/officeDocument/2006/relationships/hyperlink" Target="https://cordis.europa.eu/project/id/773383" TargetMode="External"/><Relationship Id="rId21" Type="http://schemas.openxmlformats.org/officeDocument/2006/relationships/hyperlink" Target="mailto:rudi.hessel@wur.n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reference-documents;programCode=HORIZON" TargetMode="External"/><Relationship Id="rId17" Type="http://schemas.openxmlformats.org/officeDocument/2006/relationships/hyperlink" Target="https://www.horizon2020.gouv.fr/cid86592/les-fiches-pratiques-pcn-juridique-financier.html" TargetMode="External"/><Relationship Id="rId25" Type="http://schemas.openxmlformats.org/officeDocument/2006/relationships/hyperlink" Target="https://b4est.eu/"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ache.media.education.gouv.fr/file/Fiches_pratiques_du_PCN_juridique_et_financier/49/1/20150226_audits_396491.pdf" TargetMode="External"/><Relationship Id="rId20" Type="http://schemas.openxmlformats.org/officeDocument/2006/relationships/hyperlink" Target="https://cordis.europa.eu/project/id/730052" TargetMode="External"/><Relationship Id="rId29" Type="http://schemas.openxmlformats.org/officeDocument/2006/relationships/hyperlink" Target="https://ec.europa.eu/info/funding-tenders/opportunities/portal/screen/how-to-participate/partner-sear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orizon2020.gouv.fr/cid81981/les-differents-types-de-financements.html" TargetMode="External"/><Relationship Id="rId24" Type="http://schemas.openxmlformats.org/officeDocument/2006/relationships/hyperlink" Target="mailto:info@b4est.eu" TargetMode="External"/><Relationship Id="rId32" Type="http://schemas.openxmlformats.org/officeDocument/2006/relationships/hyperlink" Target="https://cordis.europa.e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info/funding-tenders/opportunities/portal/screen/how-to-participate/reference-documents" TargetMode="External"/><Relationship Id="rId23" Type="http://schemas.openxmlformats.org/officeDocument/2006/relationships/hyperlink" Target="https://cordis.europa.eu/project/id/677407" TargetMode="External"/><Relationship Id="rId28" Type="http://schemas.openxmlformats.org/officeDocument/2006/relationships/hyperlink" Target="https://ec.europa.eu/info/funding-tenders/opportunities/portal/screen/home" TargetMode="External"/><Relationship Id="rId36" Type="http://schemas.openxmlformats.org/officeDocument/2006/relationships/fontTable" Target="fontTable.xml"/><Relationship Id="rId10" Type="http://schemas.openxmlformats.org/officeDocument/2006/relationships/hyperlink" Target="https://www.youtube.com/watch?v=b0yoRUJi5E0" TargetMode="External"/><Relationship Id="rId19" Type="http://schemas.openxmlformats.org/officeDocument/2006/relationships/hyperlink" Target="https://unalab.eu/en" TargetMode="External"/><Relationship Id="rId31" Type="http://schemas.openxmlformats.org/officeDocument/2006/relationships/hyperlink" Target="https://ec.europa.eu/info/research-and-innovation/funding/funding-opportunities/funding-programmes-and-open-calls/horizon-europe_en" TargetMode="External"/><Relationship Id="rId4" Type="http://schemas.openxmlformats.org/officeDocument/2006/relationships/settings" Target="settings.xml"/><Relationship Id="rId9" Type="http://schemas.openxmlformats.org/officeDocument/2006/relationships/hyperlink" Target="https://op.europa.eu/en/web/eu-law-and-publications/publication-detail/-/publication/3c6ffd74-8ac3-11eb-b85c-01aa75ed71a1" TargetMode="External"/><Relationship Id="rId14" Type="http://schemas.openxmlformats.org/officeDocument/2006/relationships/hyperlink" Target="https://ec.europa.eu/info/funding-tenders/opportunities/docs/2021-2027/common/agr-contr/general-mga_horizon-euratom_en.pdf" TargetMode="External"/><Relationship Id="rId22" Type="http://schemas.openxmlformats.org/officeDocument/2006/relationships/hyperlink" Target="https://www.soilcare-project.eu/" TargetMode="External"/><Relationship Id="rId27" Type="http://schemas.openxmlformats.org/officeDocument/2006/relationships/hyperlink" Target="https://www.horizon-europe.gouv.fr/les-points-de-contact-nationaux-24230" TargetMode="External"/><Relationship Id="rId30" Type="http://schemas.openxmlformats.org/officeDocument/2006/relationships/hyperlink" Target="https://www.horizon-europe.gouv.fr/" TargetMode="External"/><Relationship Id="rId35" Type="http://schemas.openxmlformats.org/officeDocument/2006/relationships/footer" Target="footer2.xml"/><Relationship Id="rId8" Type="http://schemas.openxmlformats.org/officeDocument/2006/relationships/image" Target="media/image1.jfi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horizon-europe.gou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5277</Words>
  <Characters>29025</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265</cp:revision>
  <dcterms:created xsi:type="dcterms:W3CDTF">2021-05-12T08:18:00Z</dcterms:created>
  <dcterms:modified xsi:type="dcterms:W3CDTF">2021-06-08T15:20:00Z</dcterms:modified>
</cp:coreProperties>
</file>